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c="http://schemas.openxmlformats.org/drawingml/2006/chart" mc:Ignorable="w14 w15 w16se w16cid w16 w16cex w16sdtdh wp14">
  <w:body>
    <w:p w:rsidR="00A54D7A" w:rsidP="00614518" w:rsidRDefault="00614518" w14:paraId="1D4A49DF" w14:textId="77777777">
      <w:pPr>
        <w:pStyle w:val="paragraph"/>
        <w:spacing w:before="0" w:beforeAutospacing="0" w:after="0" w:afterAutospacing="0" w:line="259" w:lineRule="auto"/>
        <w:jc w:val="center"/>
        <w:rPr>
          <w:rStyle w:val="normaltextrun"/>
          <w:rFonts w:ascii="Proxima Nova" w:hAnsi="Proxima Nova" w:cs="Calibri"/>
          <w:b/>
          <w:bCs/>
          <w:color w:val="C00000"/>
        </w:rPr>
      </w:pPr>
      <w:r w:rsidRPr="00A05536">
        <w:rPr>
          <w:rStyle w:val="normaltextrun"/>
          <w:rFonts w:ascii="Proxima Nova" w:hAnsi="Proxima Nova" w:cs="Calibri"/>
          <w:b/>
          <w:bCs/>
          <w:color w:val="C00000"/>
        </w:rPr>
        <w:t>Central and Eastern Europe</w:t>
      </w:r>
      <w:r>
        <w:rPr>
          <w:rStyle w:val="normaltextrun"/>
          <w:rFonts w:ascii="Proxima Nova" w:hAnsi="Proxima Nova" w:cs="Calibri"/>
          <w:b/>
          <w:bCs/>
          <w:color w:val="C00000"/>
        </w:rPr>
        <w:t>’s</w:t>
      </w:r>
      <w:r w:rsidRPr="00A05536">
        <w:rPr>
          <w:rStyle w:val="normaltextrun"/>
          <w:rFonts w:ascii="Proxima Nova" w:hAnsi="Proxima Nova" w:cs="Calibri"/>
          <w:b/>
          <w:bCs/>
          <w:color w:val="C00000"/>
        </w:rPr>
        <w:t xml:space="preserve"> second year into the war: </w:t>
      </w:r>
    </w:p>
    <w:p w:rsidRPr="00A05536" w:rsidR="00614518" w:rsidP="00614518" w:rsidRDefault="00614518" w14:paraId="3F7F0D06" w14:textId="6667202D">
      <w:pPr>
        <w:pStyle w:val="paragraph"/>
        <w:spacing w:before="0" w:beforeAutospacing="0" w:after="0" w:afterAutospacing="0" w:line="259" w:lineRule="auto"/>
        <w:jc w:val="center"/>
        <w:rPr>
          <w:rStyle w:val="normaltextrun"/>
          <w:rFonts w:ascii="Proxima Nova" w:hAnsi="Proxima Nova" w:cs="Calibri"/>
          <w:b/>
          <w:bCs/>
          <w:color w:val="C00000"/>
        </w:rPr>
      </w:pPr>
      <w:r w:rsidRPr="00A05536">
        <w:rPr>
          <w:rStyle w:val="normaltextrun"/>
          <w:rFonts w:ascii="Proxima Nova" w:hAnsi="Proxima Nova" w:cs="Calibri"/>
          <w:b/>
          <w:bCs/>
          <w:color w:val="C00000"/>
        </w:rPr>
        <w:t xml:space="preserve">United we stand, with some </w:t>
      </w:r>
      <w:proofErr w:type="gramStart"/>
      <w:r w:rsidRPr="00A05536">
        <w:rPr>
          <w:rStyle w:val="normaltextrun"/>
          <w:rFonts w:ascii="Proxima Nova" w:hAnsi="Proxima Nova" w:cs="Calibri"/>
          <w:b/>
          <w:bCs/>
          <w:color w:val="C00000"/>
        </w:rPr>
        <w:t>exceptions</w:t>
      </w:r>
      <w:proofErr w:type="gramEnd"/>
    </w:p>
    <w:p w:rsidRPr="007868DD" w:rsidR="00614518" w:rsidP="00614518" w:rsidRDefault="00614518" w14:paraId="08236A56" w14:textId="77777777">
      <w:pPr>
        <w:pStyle w:val="paragraph"/>
        <w:spacing w:before="0" w:beforeAutospacing="0" w:after="0" w:afterAutospacing="0" w:line="259" w:lineRule="auto"/>
        <w:jc w:val="both"/>
        <w:rPr>
          <w:rStyle w:val="normaltextrun"/>
          <w:rFonts w:ascii="Proxima Nova" w:hAnsi="Proxima Nova" w:cs="Calibri"/>
          <w:sz w:val="21"/>
          <w:szCs w:val="21"/>
        </w:rPr>
      </w:pPr>
    </w:p>
    <w:p w:rsidR="00614518" w:rsidP="00614518" w:rsidRDefault="00614518" w14:paraId="51B31FD6" w14:textId="77777777">
      <w:pPr>
        <w:pStyle w:val="paragraph"/>
        <w:spacing w:before="0" w:beforeAutospacing="0" w:after="0" w:afterAutospacing="0" w:line="259" w:lineRule="auto"/>
        <w:jc w:val="both"/>
        <w:rPr>
          <w:rStyle w:val="normaltextrun"/>
          <w:rFonts w:ascii="Proxima Nova" w:hAnsi="Proxima Nova" w:cs="Calibri"/>
          <w:i/>
          <w:iCs/>
          <w:sz w:val="21"/>
          <w:szCs w:val="21"/>
        </w:rPr>
      </w:pPr>
    </w:p>
    <w:p w:rsidRPr="00A05536" w:rsidR="00614518" w:rsidP="00614518" w:rsidRDefault="00614518" w14:paraId="5FD9303A" w14:textId="55EB0541">
      <w:pPr>
        <w:pStyle w:val="paragraph"/>
        <w:spacing w:before="0" w:beforeAutospacing="0" w:after="0" w:afterAutospacing="0" w:line="259" w:lineRule="auto"/>
        <w:jc w:val="both"/>
        <w:rPr>
          <w:rFonts w:ascii="Proxima Nova" w:hAnsi="Proxima Nova" w:cs="Calibri"/>
          <w:b/>
          <w:bCs/>
          <w:sz w:val="21"/>
          <w:szCs w:val="21"/>
        </w:rPr>
      </w:pPr>
      <w:r>
        <w:rPr>
          <w:rStyle w:val="normaltextrun"/>
          <w:rFonts w:ascii="Proxima Nova" w:hAnsi="Proxima Nova" w:cs="Calibri"/>
          <w:b/>
          <w:bCs/>
          <w:sz w:val="21"/>
          <w:szCs w:val="21"/>
        </w:rPr>
        <w:t xml:space="preserve">Bratislava, 26 May 2023 – </w:t>
      </w:r>
      <w:r w:rsidRPr="00A05536">
        <w:rPr>
          <w:rStyle w:val="normaltextrun"/>
          <w:rFonts w:ascii="Proxima Nova" w:hAnsi="Proxima Nova" w:cs="Calibri"/>
          <w:b/>
          <w:bCs/>
          <w:sz w:val="21"/>
          <w:szCs w:val="21"/>
        </w:rPr>
        <w:t>GLOBSEC Trends 2023</w:t>
      </w:r>
      <w:r>
        <w:rPr>
          <w:rStyle w:val="normaltextrun"/>
          <w:rFonts w:ascii="Proxima Nova" w:hAnsi="Proxima Nova" w:cs="Calibri"/>
          <w:b/>
          <w:bCs/>
          <w:sz w:val="21"/>
          <w:szCs w:val="21"/>
        </w:rPr>
        <w:t>;</w:t>
      </w:r>
      <w:r w:rsidRPr="00A05536">
        <w:rPr>
          <w:rStyle w:val="normaltextrun"/>
          <w:rFonts w:ascii="Proxima Nova" w:hAnsi="Proxima Nova" w:cs="Calibri"/>
          <w:b/>
          <w:bCs/>
          <w:sz w:val="21"/>
          <w:szCs w:val="21"/>
        </w:rPr>
        <w:t xml:space="preserve"> the latest opinion poll conducted by GLOBSEC across eight </w:t>
      </w:r>
      <w:r>
        <w:rPr>
          <w:rStyle w:val="normaltextrun"/>
          <w:rFonts w:ascii="Proxima Nova" w:hAnsi="Proxima Nova" w:cs="Calibri"/>
          <w:b/>
          <w:bCs/>
          <w:sz w:val="21"/>
          <w:szCs w:val="21"/>
        </w:rPr>
        <w:t>Central and Eastern European (CEE)</w:t>
      </w:r>
      <w:r w:rsidRPr="00A05536">
        <w:rPr>
          <w:rStyle w:val="normaltextrun"/>
          <w:rFonts w:ascii="Proxima Nova" w:hAnsi="Proxima Nova" w:cs="Calibri"/>
          <w:b/>
          <w:bCs/>
          <w:sz w:val="21"/>
          <w:szCs w:val="21"/>
        </w:rPr>
        <w:t xml:space="preserve"> countries (Bulgaria, Czechia, Hungary, Latvia, Lithuania, Poland, </w:t>
      </w:r>
      <w:proofErr w:type="gramStart"/>
      <w:r w:rsidRPr="00A05536">
        <w:rPr>
          <w:rStyle w:val="normaltextrun"/>
          <w:rFonts w:ascii="Proxima Nova" w:hAnsi="Proxima Nova" w:cs="Calibri"/>
          <w:b/>
          <w:bCs/>
          <w:sz w:val="21"/>
          <w:szCs w:val="21"/>
        </w:rPr>
        <w:t>Romania</w:t>
      </w:r>
      <w:proofErr w:type="gramEnd"/>
      <w:r w:rsidRPr="00A05536">
        <w:rPr>
          <w:rStyle w:val="normaltextrun"/>
          <w:rFonts w:ascii="Proxima Nova" w:hAnsi="Proxima Nova" w:cs="Calibri"/>
          <w:b/>
          <w:bCs/>
          <w:sz w:val="21"/>
          <w:szCs w:val="21"/>
        </w:rPr>
        <w:t xml:space="preserve"> and Slovakia)</w:t>
      </w:r>
      <w:r>
        <w:rPr>
          <w:rStyle w:val="normaltextrun"/>
          <w:rFonts w:ascii="Proxima Nova" w:hAnsi="Proxima Nova" w:cs="Calibri"/>
          <w:b/>
          <w:bCs/>
          <w:sz w:val="21"/>
          <w:szCs w:val="21"/>
        </w:rPr>
        <w:t>,</w:t>
      </w:r>
      <w:r w:rsidRPr="00A05536">
        <w:rPr>
          <w:rStyle w:val="normaltextrun"/>
          <w:rFonts w:ascii="Proxima Nova" w:hAnsi="Proxima Nova" w:cs="Calibri"/>
          <w:b/>
          <w:bCs/>
          <w:sz w:val="21"/>
          <w:szCs w:val="21"/>
        </w:rPr>
        <w:t xml:space="preserve"> examines </w:t>
      </w:r>
      <w:r w:rsidRPr="00A05536">
        <w:rPr>
          <w:rFonts w:ascii="Proxima Nova" w:hAnsi="Proxima Nova" w:cs="Calibri"/>
          <w:b/>
          <w:bCs/>
          <w:sz w:val="21"/>
          <w:szCs w:val="21"/>
        </w:rPr>
        <w:t xml:space="preserve">the susceptibility to key narratives – both true and manipulative – </w:t>
      </w:r>
      <w:r>
        <w:rPr>
          <w:rFonts w:ascii="Proxima Nova" w:hAnsi="Proxima Nova" w:cs="Calibri"/>
          <w:b/>
          <w:bCs/>
          <w:sz w:val="21"/>
          <w:szCs w:val="21"/>
        </w:rPr>
        <w:t>concerning the</w:t>
      </w:r>
      <w:r w:rsidRPr="00A05536">
        <w:rPr>
          <w:rFonts w:ascii="Proxima Nova" w:hAnsi="Proxima Nova" w:cs="Calibri"/>
          <w:b/>
          <w:bCs/>
          <w:sz w:val="21"/>
          <w:szCs w:val="21"/>
        </w:rPr>
        <w:t xml:space="preserve"> war in Ukraine, NATO, Western nations, the EU, democracy and public health. </w:t>
      </w:r>
    </w:p>
    <w:p w:rsidRPr="00FC282C" w:rsidR="00614518" w:rsidP="00614518" w:rsidRDefault="00614518" w14:paraId="2A1C18F5" w14:textId="77777777">
      <w:pPr>
        <w:pStyle w:val="paragraph"/>
        <w:spacing w:before="0" w:beforeAutospacing="0" w:after="0" w:afterAutospacing="0" w:line="259" w:lineRule="auto"/>
        <w:jc w:val="both"/>
        <w:rPr>
          <w:rFonts w:ascii="Proxima Nova" w:hAnsi="Proxima Nova" w:cs="Calibri"/>
          <w:sz w:val="21"/>
          <w:szCs w:val="21"/>
        </w:rPr>
      </w:pPr>
    </w:p>
    <w:p w:rsidR="00614518" w:rsidP="00614518" w:rsidRDefault="00614518" w14:paraId="12F63A76" w14:textId="177C83FA">
      <w:pPr>
        <w:pStyle w:val="paragraph"/>
        <w:spacing w:before="0" w:beforeAutospacing="0" w:after="0" w:afterAutospacing="0" w:line="259" w:lineRule="auto"/>
        <w:jc w:val="both"/>
        <w:rPr>
          <w:rFonts w:ascii="Proxima Nova" w:hAnsi="Proxima Nova" w:cs="Calibri"/>
          <w:sz w:val="21"/>
          <w:szCs w:val="21"/>
        </w:rPr>
      </w:pPr>
      <w:r>
        <w:rPr>
          <w:rStyle w:val="normaltextrun"/>
          <w:rFonts w:ascii="Proxima Nova" w:hAnsi="Proxima Nova"/>
          <w:color w:val="000000"/>
          <w:sz w:val="21"/>
          <w:szCs w:val="21"/>
          <w:shd w:val="clear" w:color="auto" w:fill="FFFFFF"/>
        </w:rPr>
        <w:t xml:space="preserve">The impact of internal politics, historical context and cultural factors on the populations’ attitudes are evident in cases of countries with the lowest pro-West and pro-Ukraine support – Bulgaria, </w:t>
      </w:r>
      <w:proofErr w:type="gramStart"/>
      <w:r>
        <w:rPr>
          <w:rStyle w:val="normaltextrun"/>
          <w:rFonts w:ascii="Proxima Nova" w:hAnsi="Proxima Nova"/>
          <w:color w:val="000000"/>
          <w:sz w:val="21"/>
          <w:szCs w:val="21"/>
          <w:shd w:val="clear" w:color="auto" w:fill="FFFFFF"/>
        </w:rPr>
        <w:t>Hungary</w:t>
      </w:r>
      <w:proofErr w:type="gramEnd"/>
      <w:r>
        <w:rPr>
          <w:rStyle w:val="normaltextrun"/>
          <w:rFonts w:ascii="Proxima Nova" w:hAnsi="Proxima Nova"/>
          <w:color w:val="000000"/>
          <w:sz w:val="21"/>
          <w:szCs w:val="21"/>
          <w:shd w:val="clear" w:color="auto" w:fill="FFFFFF"/>
        </w:rPr>
        <w:t xml:space="preserve"> and Slovakia. </w:t>
      </w:r>
      <w:r>
        <w:rPr>
          <w:rStyle w:val="eop"/>
          <w:rFonts w:ascii="Proxima Nova" w:hAnsi="Proxima Nova"/>
          <w:color w:val="000000"/>
          <w:sz w:val="21"/>
          <w:szCs w:val="21"/>
          <w:shd w:val="clear" w:color="auto" w:fill="FFFFFF"/>
        </w:rPr>
        <w:t> </w:t>
      </w:r>
      <w:r>
        <w:rPr>
          <w:rFonts w:ascii="Proxima Nova" w:hAnsi="Proxima Nova" w:cs="Calibri"/>
          <w:sz w:val="21"/>
          <w:szCs w:val="21"/>
        </w:rPr>
        <w:t>“</w:t>
      </w:r>
      <w:r w:rsidRPr="00123398">
        <w:rPr>
          <w:rFonts w:ascii="Proxima Nova" w:hAnsi="Proxima Nova" w:cs="Calibri"/>
          <w:i/>
          <w:iCs/>
          <w:sz w:val="21"/>
          <w:szCs w:val="21"/>
        </w:rPr>
        <w:t xml:space="preserve">While the war in Ukraine had a considerable effect on public opinion in most countries (as evidenced in the polling in 2022), </w:t>
      </w:r>
      <w:r>
        <w:rPr>
          <w:rFonts w:ascii="Proxima Nova" w:hAnsi="Proxima Nova" w:cs="Calibri"/>
          <w:i/>
          <w:iCs/>
          <w:sz w:val="21"/>
          <w:szCs w:val="21"/>
        </w:rPr>
        <w:t xml:space="preserve">this year, the polling results show a </w:t>
      </w:r>
      <w:r w:rsidRPr="00123398">
        <w:rPr>
          <w:rFonts w:ascii="Proxima Nova" w:hAnsi="Proxima Nova" w:cs="Calibri"/>
          <w:i/>
          <w:iCs/>
          <w:sz w:val="21"/>
          <w:szCs w:val="21"/>
        </w:rPr>
        <w:t>deepen</w:t>
      </w:r>
      <w:r>
        <w:rPr>
          <w:rFonts w:ascii="Proxima Nova" w:hAnsi="Proxima Nova" w:cs="Calibri"/>
          <w:i/>
          <w:iCs/>
          <w:sz w:val="21"/>
          <w:szCs w:val="21"/>
        </w:rPr>
        <w:t xml:space="preserve">ing of </w:t>
      </w:r>
      <w:r w:rsidRPr="00123398">
        <w:rPr>
          <w:rFonts w:ascii="Proxima Nova" w:hAnsi="Proxima Nova" w:cs="Calibri"/>
          <w:i/>
          <w:iCs/>
          <w:sz w:val="21"/>
          <w:szCs w:val="21"/>
        </w:rPr>
        <w:t xml:space="preserve">the divisions between more and less resilient </w:t>
      </w:r>
      <w:r>
        <w:rPr>
          <w:rFonts w:ascii="Proxima Nova" w:hAnsi="Proxima Nova" w:cs="Calibri"/>
          <w:i/>
          <w:iCs/>
          <w:sz w:val="21"/>
          <w:szCs w:val="21"/>
        </w:rPr>
        <w:t>countries</w:t>
      </w:r>
      <w:r>
        <w:rPr>
          <w:rFonts w:ascii="Proxima Nova" w:hAnsi="Proxima Nova" w:cs="Calibri"/>
          <w:sz w:val="21"/>
          <w:szCs w:val="21"/>
        </w:rPr>
        <w:t>,” the Director of GLOBSEC’s</w:t>
      </w:r>
      <w:r w:rsidRPr="009B33C0">
        <w:t xml:space="preserve"> </w:t>
      </w:r>
      <w:r w:rsidRPr="009B33C0">
        <w:rPr>
          <w:rFonts w:ascii="Proxima Nova" w:hAnsi="Proxima Nova" w:cs="Calibri"/>
          <w:sz w:val="21"/>
          <w:szCs w:val="21"/>
        </w:rPr>
        <w:t>Centre for Democracy &amp; Resilience</w:t>
      </w:r>
      <w:r>
        <w:rPr>
          <w:rFonts w:ascii="Proxima Nova" w:hAnsi="Proxima Nova" w:cs="Calibri"/>
          <w:sz w:val="21"/>
          <w:szCs w:val="21"/>
        </w:rPr>
        <w:t xml:space="preserve">, Dominika Hajdu said. </w:t>
      </w:r>
    </w:p>
    <w:p w:rsidR="00614518" w:rsidP="00614518" w:rsidRDefault="00614518" w14:paraId="0B2D70FA" w14:textId="77777777">
      <w:pPr>
        <w:pStyle w:val="paragraph"/>
        <w:spacing w:before="0" w:beforeAutospacing="0" w:after="0" w:afterAutospacing="0" w:line="259" w:lineRule="auto"/>
        <w:jc w:val="both"/>
        <w:rPr>
          <w:rFonts w:ascii="Proxima Nova" w:hAnsi="Proxima Nova" w:cs="Calibri"/>
          <w:sz w:val="21"/>
          <w:szCs w:val="21"/>
        </w:rPr>
      </w:pPr>
      <w:r w:rsidRPr="007868DD">
        <w:rPr>
          <w:rFonts w:ascii="Proxima Nova" w:hAnsi="Proxima Nova" w:cs="Calibri"/>
          <w:sz w:val="21"/>
          <w:szCs w:val="21"/>
        </w:rPr>
        <w:t xml:space="preserve"> </w:t>
      </w:r>
    </w:p>
    <w:p w:rsidR="00614518" w:rsidP="00614518" w:rsidRDefault="00614518" w14:paraId="6953CB75" w14:textId="61CD3D27">
      <w:pPr>
        <w:pStyle w:val="paragraph"/>
        <w:spacing w:before="0" w:beforeAutospacing="0" w:after="0" w:afterAutospacing="0" w:line="259" w:lineRule="auto"/>
        <w:jc w:val="both"/>
        <w:rPr>
          <w:rStyle w:val="normaltextrun"/>
          <w:rFonts w:ascii="Proxima Nova" w:hAnsi="Proxima Nova"/>
          <w:color w:val="000000"/>
          <w:sz w:val="21"/>
          <w:szCs w:val="21"/>
          <w:shd w:val="clear" w:color="auto" w:fill="FFFFFF"/>
        </w:rPr>
      </w:pPr>
      <w:r>
        <w:rPr>
          <w:rFonts w:ascii="Proxima Nova" w:hAnsi="Proxima Nova" w:cs="Calibri"/>
          <w:sz w:val="21"/>
          <w:szCs w:val="21"/>
        </w:rPr>
        <w:t>“</w:t>
      </w:r>
      <w:r w:rsidRPr="00BB5246">
        <w:rPr>
          <w:rStyle w:val="normaltextrun"/>
          <w:rFonts w:ascii="Proxima Nova" w:hAnsi="Proxima Nova"/>
          <w:i/>
          <w:iCs/>
          <w:color w:val="000000"/>
          <w:sz w:val="21"/>
          <w:szCs w:val="21"/>
          <w:shd w:val="clear" w:color="auto" w:fill="FFFFFF"/>
        </w:rPr>
        <w:t>While Hungarians have been gradually looking more towards the East</w:t>
      </w:r>
      <w:r>
        <w:rPr>
          <w:rStyle w:val="normaltextrun"/>
          <w:rFonts w:ascii="Proxima Nova" w:hAnsi="Proxima Nova"/>
          <w:i/>
          <w:iCs/>
          <w:color w:val="000000"/>
          <w:sz w:val="21"/>
          <w:szCs w:val="21"/>
          <w:shd w:val="clear" w:color="auto" w:fill="FFFFFF"/>
        </w:rPr>
        <w:t xml:space="preserve"> on some issues </w:t>
      </w:r>
      <w:r w:rsidRPr="00BB5246">
        <w:rPr>
          <w:rStyle w:val="normaltextrun"/>
          <w:rFonts w:ascii="Proxima Nova" w:hAnsi="Proxima Nova"/>
          <w:i/>
          <w:iCs/>
          <w:color w:val="000000"/>
          <w:sz w:val="21"/>
          <w:szCs w:val="21"/>
          <w:shd w:val="clear" w:color="auto" w:fill="FFFFFF"/>
        </w:rPr>
        <w:t xml:space="preserve">due to the government's consistent anti-West rhetoric </w:t>
      </w:r>
      <w:r>
        <w:rPr>
          <w:rStyle w:val="normaltextrun"/>
          <w:rFonts w:ascii="Proxima Nova" w:hAnsi="Proxima Nova"/>
          <w:i/>
          <w:iCs/>
          <w:color w:val="000000"/>
          <w:sz w:val="21"/>
          <w:szCs w:val="21"/>
          <w:shd w:val="clear" w:color="auto" w:fill="FFFFFF"/>
        </w:rPr>
        <w:t>–</w:t>
      </w:r>
      <w:r w:rsidRPr="00BB5246">
        <w:rPr>
          <w:rStyle w:val="normaltextrun"/>
          <w:rFonts w:ascii="Proxima Nova" w:hAnsi="Proxima Nova"/>
          <w:i/>
          <w:iCs/>
          <w:color w:val="000000"/>
          <w:sz w:val="21"/>
          <w:szCs w:val="21"/>
          <w:shd w:val="clear" w:color="auto" w:fill="FFFFFF"/>
        </w:rPr>
        <w:t xml:space="preserve"> </w:t>
      </w:r>
      <w:r>
        <w:rPr>
          <w:rStyle w:val="normaltextrun"/>
          <w:rFonts w:ascii="Proxima Nova" w:hAnsi="Proxima Nova"/>
          <w:i/>
          <w:iCs/>
          <w:color w:val="000000"/>
          <w:sz w:val="21"/>
          <w:szCs w:val="21"/>
          <w:shd w:val="clear" w:color="auto" w:fill="FFFFFF"/>
        </w:rPr>
        <w:t xml:space="preserve">but </w:t>
      </w:r>
      <w:r w:rsidRPr="00BB5246">
        <w:rPr>
          <w:rStyle w:val="normaltextrun"/>
          <w:rFonts w:ascii="Proxima Nova" w:hAnsi="Proxima Nova"/>
          <w:i/>
          <w:iCs/>
          <w:color w:val="000000"/>
          <w:sz w:val="21"/>
          <w:szCs w:val="21"/>
          <w:shd w:val="clear" w:color="auto" w:fill="FFFFFF"/>
        </w:rPr>
        <w:t>parallelly maintaining a strong belief in the country's EU and NATO membership</w:t>
      </w:r>
      <w:r>
        <w:rPr>
          <w:rStyle w:val="normaltextrun"/>
          <w:rFonts w:ascii="Proxima Nova" w:hAnsi="Proxima Nova"/>
          <w:i/>
          <w:iCs/>
          <w:color w:val="000000"/>
          <w:sz w:val="21"/>
          <w:szCs w:val="21"/>
          <w:shd w:val="clear" w:color="auto" w:fill="FFFFFF"/>
        </w:rPr>
        <w:t xml:space="preserve"> – an</w:t>
      </w:r>
      <w:r w:rsidRPr="003A7F65">
        <w:rPr>
          <w:rStyle w:val="normaltextrun"/>
          <w:rFonts w:ascii="Proxima Nova" w:hAnsi="Proxima Nova"/>
          <w:i/>
          <w:iCs/>
          <w:color w:val="000000"/>
          <w:sz w:val="21"/>
          <w:szCs w:val="21"/>
          <w:shd w:val="clear" w:color="auto" w:fill="FFFFFF"/>
        </w:rPr>
        <w:t>d Bulgaria's outlook remains influenced by historical ties to Russia, both economically and culturally, Slovakia’s shift in attitudes between 2022 and 2023 may be rather surprising. Support for NATO membership decreased from 72% to 58%, the majority no longer attributes primary responsibility for the war in Ukraine to Russia, and 50% consider the US to be a security threat</w:t>
      </w:r>
      <w:r>
        <w:rPr>
          <w:rStyle w:val="normaltextrun"/>
          <w:rFonts w:ascii="Proxima Nova" w:hAnsi="Proxima Nova"/>
          <w:color w:val="000000"/>
          <w:sz w:val="21"/>
          <w:szCs w:val="21"/>
          <w:shd w:val="clear" w:color="auto" w:fill="FFFFFF"/>
        </w:rPr>
        <w:t>,” added</w:t>
      </w:r>
      <w:r w:rsidRPr="574BAD7C">
        <w:rPr>
          <w:rStyle w:val="normaltextrun"/>
          <w:rFonts w:ascii="Proxima Nova" w:hAnsi="Proxima Nova"/>
          <w:color w:val="000000" w:themeColor="text1"/>
          <w:sz w:val="21"/>
          <w:szCs w:val="21"/>
        </w:rPr>
        <w:t xml:space="preserve"> Jana Kazaz, </w:t>
      </w:r>
      <w:r>
        <w:rPr>
          <w:rStyle w:val="normaltextrun"/>
          <w:rFonts w:ascii="Proxima Nova" w:hAnsi="Proxima Nova"/>
          <w:color w:val="000000" w:themeColor="text1"/>
          <w:sz w:val="21"/>
          <w:szCs w:val="21"/>
        </w:rPr>
        <w:t xml:space="preserve">a </w:t>
      </w:r>
      <w:r w:rsidRPr="574BAD7C">
        <w:rPr>
          <w:rStyle w:val="normaltextrun"/>
          <w:rFonts w:ascii="Proxima Nova" w:hAnsi="Proxima Nova"/>
          <w:color w:val="000000" w:themeColor="text1"/>
          <w:sz w:val="21"/>
          <w:szCs w:val="21"/>
        </w:rPr>
        <w:t>Centre’s Research Fellow</w:t>
      </w:r>
      <w:r>
        <w:rPr>
          <w:rStyle w:val="normaltextrun"/>
          <w:rFonts w:ascii="Proxima Nova" w:hAnsi="Proxima Nova"/>
          <w:color w:val="000000"/>
          <w:sz w:val="21"/>
          <w:szCs w:val="21"/>
          <w:shd w:val="clear" w:color="auto" w:fill="FFFFFF"/>
        </w:rPr>
        <w:t>.</w:t>
      </w:r>
    </w:p>
    <w:p w:rsidR="00614518" w:rsidP="00614518" w:rsidRDefault="00614518" w14:paraId="4EB140E3" w14:textId="77777777">
      <w:pPr>
        <w:pStyle w:val="paragraph"/>
        <w:spacing w:before="0" w:beforeAutospacing="0" w:after="0" w:afterAutospacing="0" w:line="259" w:lineRule="auto"/>
        <w:jc w:val="both"/>
        <w:rPr>
          <w:rStyle w:val="normaltextrun"/>
          <w:rFonts w:ascii="Proxima Nova" w:hAnsi="Proxima Nova"/>
          <w:color w:val="000000"/>
          <w:sz w:val="21"/>
          <w:szCs w:val="21"/>
          <w:shd w:val="clear" w:color="auto" w:fill="FFFFFF"/>
        </w:rPr>
      </w:pPr>
    </w:p>
    <w:p w:rsidR="00614518" w:rsidP="00614518" w:rsidRDefault="00614518" w14:paraId="01132833" w14:textId="210A3A13">
      <w:pPr>
        <w:pStyle w:val="paragraph"/>
        <w:spacing w:before="0" w:beforeAutospacing="0" w:after="0" w:afterAutospacing="0" w:line="259" w:lineRule="auto"/>
        <w:jc w:val="both"/>
        <w:rPr>
          <w:rStyle w:val="eop"/>
          <w:rFonts w:ascii="Proxima Nova" w:hAnsi="Proxima Nova"/>
          <w:color w:val="000000"/>
          <w:sz w:val="21"/>
          <w:szCs w:val="21"/>
          <w:shd w:val="clear" w:color="auto" w:fill="FFFFFF"/>
        </w:rPr>
      </w:pPr>
      <w:r>
        <w:rPr>
          <w:rStyle w:val="normaltextrun"/>
          <w:rFonts w:ascii="Proxima Nova" w:hAnsi="Proxima Nova"/>
          <w:color w:val="000000"/>
          <w:sz w:val="21"/>
          <w:szCs w:val="21"/>
          <w:shd w:val="clear" w:color="auto" w:fill="FFFFFF"/>
        </w:rPr>
        <w:t>The average support for NATO membership among the polled countries is 79%, but the figures differ significantly across the countries, with 94% of Poles supporting the membership on one hand, and 58% of Slovaks and Bulgarians on the other. Similarly, an average of 74% acknowledge that military support helps Ukrainians defend itself against Russia, but in Slovakia and Bulgaria, more people believe that arming Ukraine provokes Russia and brings their countries closer to war.</w:t>
      </w:r>
      <w:r>
        <w:rPr>
          <w:rStyle w:val="eop"/>
          <w:rFonts w:ascii="Proxima Nova" w:hAnsi="Proxima Nova"/>
          <w:color w:val="000000"/>
          <w:sz w:val="21"/>
          <w:szCs w:val="21"/>
          <w:shd w:val="clear" w:color="auto" w:fill="FFFFFF"/>
        </w:rPr>
        <w:t> </w:t>
      </w:r>
    </w:p>
    <w:p w:rsidR="00D35094" w:rsidP="00614518" w:rsidRDefault="00D35094" w14:paraId="3D9568E9" w14:textId="77777777">
      <w:pPr>
        <w:pStyle w:val="paragraph"/>
        <w:spacing w:before="0" w:beforeAutospacing="0" w:after="0" w:afterAutospacing="0" w:line="259" w:lineRule="auto"/>
        <w:jc w:val="both"/>
        <w:rPr>
          <w:rStyle w:val="eop"/>
          <w:rFonts w:ascii="Proxima Nova" w:hAnsi="Proxima Nova"/>
          <w:color w:val="000000"/>
          <w:sz w:val="21"/>
          <w:szCs w:val="21"/>
          <w:shd w:val="clear" w:color="auto" w:fill="FFFFFF"/>
        </w:rPr>
      </w:pPr>
    </w:p>
    <w:p w:rsidR="00D35094" w:rsidP="00614518" w:rsidRDefault="00D35094" w14:paraId="4FA30582" w14:textId="262BAB08">
      <w:pPr>
        <w:pStyle w:val="paragraph"/>
        <w:spacing w:before="0" w:beforeAutospacing="0" w:after="0" w:afterAutospacing="0" w:line="259" w:lineRule="auto"/>
        <w:jc w:val="both"/>
        <w:rPr>
          <w:rStyle w:val="eop"/>
          <w:rFonts w:ascii="Proxima Nova" w:hAnsi="Proxima Nova"/>
          <w:color w:val="000000"/>
          <w:sz w:val="21"/>
          <w:szCs w:val="21"/>
          <w:shd w:val="clear" w:color="auto" w:fill="FFFFFF"/>
        </w:rPr>
      </w:pPr>
      <w:r>
        <w:rPr>
          <w:noProof/>
        </w:rPr>
        <w:drawing>
          <wp:inline distT="0" distB="0" distL="0" distR="0" wp14:anchorId="744D23A6" wp14:editId="495E6375">
            <wp:extent cx="5943600" cy="2821305"/>
            <wp:effectExtent l="0" t="0" r="0" b="17145"/>
            <wp:docPr id="1755546352" name="Chart 1">
              <a:extLst xmlns:a="http://schemas.openxmlformats.org/drawingml/2006/main">
                <a:ext uri="{FF2B5EF4-FFF2-40B4-BE49-F238E27FC236}">
                  <a16:creationId xmlns:a16="http://schemas.microsoft.com/office/drawing/2014/main" id="{D976518B-008F-574D-A615-F4438C15EE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35094" w:rsidP="00614518" w:rsidRDefault="00D35094" w14:paraId="26BA48C9" w14:textId="77777777">
      <w:pPr>
        <w:pStyle w:val="paragraph"/>
        <w:spacing w:before="0" w:beforeAutospacing="0" w:after="0" w:afterAutospacing="0" w:line="259" w:lineRule="auto"/>
        <w:jc w:val="both"/>
        <w:rPr>
          <w:rStyle w:val="eop"/>
          <w:rFonts w:ascii="Proxima Nova" w:hAnsi="Proxima Nova"/>
          <w:color w:val="000000"/>
          <w:sz w:val="21"/>
          <w:szCs w:val="21"/>
          <w:shd w:val="clear" w:color="auto" w:fill="FFFFFF"/>
        </w:rPr>
      </w:pPr>
    </w:p>
    <w:p w:rsidR="0069607A" w:rsidP="00614518" w:rsidRDefault="0069607A" w14:paraId="69AF3CA1" w14:textId="7E57CAA1">
      <w:pPr>
        <w:pStyle w:val="paragraph"/>
        <w:spacing w:before="0" w:beforeAutospacing="0" w:after="0" w:afterAutospacing="0" w:line="259" w:lineRule="auto"/>
        <w:jc w:val="both"/>
        <w:rPr>
          <w:rStyle w:val="eop"/>
          <w:rFonts w:ascii="Proxima Nova" w:hAnsi="Proxima Nova"/>
          <w:color w:val="000000"/>
          <w:sz w:val="21"/>
          <w:szCs w:val="21"/>
          <w:shd w:val="clear" w:color="auto" w:fill="FFFFFF"/>
        </w:rPr>
      </w:pPr>
      <w:r>
        <w:rPr>
          <w:noProof/>
        </w:rPr>
        <w:drawing>
          <wp:inline distT="0" distB="0" distL="0" distR="0" wp14:anchorId="09058EAF" wp14:editId="761A40F8">
            <wp:extent cx="6055995" cy="3791243"/>
            <wp:effectExtent l="0" t="0" r="1905" b="0"/>
            <wp:docPr id="640634065" name="Chart 1">
              <a:extLst xmlns:a="http://schemas.openxmlformats.org/drawingml/2006/main">
                <a:ext uri="{FF2B5EF4-FFF2-40B4-BE49-F238E27FC236}">
                  <a16:creationId xmlns:a16="http://schemas.microsoft.com/office/drawing/2014/main" id="{A825DB02-AEE8-9D2F-45F8-4CA77B9B2E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14518" w:rsidP="00614518" w:rsidRDefault="00614518" w14:paraId="56F9D6F0" w14:textId="77777777">
      <w:pPr>
        <w:pStyle w:val="paragraph"/>
        <w:spacing w:before="0" w:beforeAutospacing="0" w:after="0" w:afterAutospacing="0" w:line="259" w:lineRule="auto"/>
        <w:jc w:val="both"/>
        <w:rPr>
          <w:rStyle w:val="eop"/>
          <w:rFonts w:ascii="Proxima Nova" w:hAnsi="Proxima Nova"/>
          <w:color w:val="000000"/>
          <w:sz w:val="21"/>
          <w:szCs w:val="21"/>
          <w:shd w:val="clear" w:color="auto" w:fill="FFFFFF"/>
        </w:rPr>
      </w:pPr>
    </w:p>
    <w:p w:rsidRPr="00A446C0" w:rsidR="00614518" w:rsidP="00614518" w:rsidRDefault="00614518" w14:paraId="49B787AF" w14:textId="33E31DA7">
      <w:pPr>
        <w:spacing w:after="0" w:line="240" w:lineRule="auto"/>
        <w:jc w:val="both"/>
        <w:textAlignment w:val="baseline"/>
        <w:rPr>
          <w:rFonts w:ascii="Segoe UI" w:hAnsi="Segoe UI" w:eastAsia="Times New Roman" w:cs="Segoe UI"/>
          <w:sz w:val="18"/>
          <w:szCs w:val="18"/>
          <w:lang w:val="en-US"/>
          <w14:ligatures w14:val="none"/>
        </w:rPr>
      </w:pPr>
      <w:r w:rsidR="00614518">
        <w:rPr>
          <w:rFonts w:ascii="Proxima Nova" w:hAnsi="Proxima Nova" w:eastAsia="Times New Roman" w:cs="Segoe UI"/>
          <w:sz w:val="21"/>
          <w:szCs w:val="21"/>
          <w:lang w:val="en-US"/>
          <w14:ligatures w14:val="none"/>
        </w:rPr>
        <w:t>“</w:t>
      </w:r>
      <w:r w:rsidRPr="515FF2DE" w:rsidR="00614518">
        <w:rPr>
          <w:rFonts w:ascii="Proxima Nova" w:hAnsi="Proxima Nova" w:eastAsia="Times New Roman" w:cs="Segoe UI"/>
          <w:i w:val="1"/>
          <w:iCs w:val="1"/>
          <w:sz w:val="21"/>
          <w:szCs w:val="21"/>
          <w:lang w:val="en-US"/>
          <w14:ligatures w14:val="none"/>
        </w:rPr>
        <w:t>Slovakia is a clear example of how agenda</w:t>
      </w:r>
      <w:r w:rsidRPr="515FF2DE" w:rsidR="00614518">
        <w:rPr>
          <w:rFonts w:ascii="Proxima Nova" w:hAnsi="Proxima Nova" w:eastAsia="Times New Roman" w:cs="Segoe UI"/>
          <w:i w:val="1"/>
          <w:iCs w:val="1"/>
          <w:sz w:val="21"/>
          <w:szCs w:val="21"/>
          <w:lang w:val="en-US"/>
          <w14:ligatures w14:val="none"/>
        </w:rPr>
        <w:t>-</w:t>
      </w:r>
      <w:r w:rsidRPr="515FF2DE" w:rsidR="00614518">
        <w:rPr>
          <w:rFonts w:ascii="Proxima Nova" w:hAnsi="Proxima Nova" w:eastAsia="Times New Roman" w:cs="Segoe UI"/>
          <w:i w:val="1"/>
          <w:iCs w:val="1"/>
          <w:sz w:val="21"/>
          <w:szCs w:val="21"/>
          <w:lang w:val="en-US"/>
          <w14:ligatures w14:val="none"/>
        </w:rPr>
        <w:t xml:space="preserve">setting by certain political representatives influence public opinion, especially in a society with a high susceptibility to believe disinformation. Slovakia, currently facing historically low levels of trust in institutions, with only 18% having confidence in the government and 37% in the president, has been marred by </w:t>
      </w:r>
      <w:r w:rsidRPr="515FF2DE" w:rsidR="00614518">
        <w:rPr>
          <w:rFonts w:ascii="Proxima Nova" w:hAnsi="Proxima Nova" w:eastAsia="Times New Roman" w:cs="Segoe UI"/>
          <w:i w:val="1"/>
          <w:iCs w:val="1"/>
          <w:sz w:val="21"/>
          <w:szCs w:val="21"/>
          <w:lang w:val="en-US"/>
          <w14:ligatures w14:val="none"/>
        </w:rPr>
        <w:t>political chaos and</w:t>
      </w:r>
      <w:r w:rsidRPr="515FF2DE" w:rsidR="00614518">
        <w:rPr>
          <w:rFonts w:ascii="Proxima Nova" w:hAnsi="Proxima Nova" w:eastAsia="Times New Roman" w:cs="Segoe UI"/>
          <w:i w:val="1"/>
          <w:iCs w:val="1"/>
          <w:sz w:val="21"/>
          <w:szCs w:val="21"/>
          <w:lang w:val="en-US"/>
          <w14:ligatures w14:val="none"/>
        </w:rPr>
        <w:t xml:space="preserve"> turmoil caused by the ruling coalition from 2020 to 2023. This lack of trust has created fertile ground</w:t>
      </w:r>
      <w:r w:rsidRPr="515FF2DE" w:rsidR="00614518">
        <w:rPr>
          <w:rFonts w:ascii="Proxima Nova" w:hAnsi="Proxima Nova" w:eastAsia="Times New Roman" w:cs="Segoe UI"/>
          <w:i w:val="1"/>
          <w:iCs w:val="1"/>
          <w:sz w:val="21"/>
          <w:szCs w:val="21"/>
          <w:lang w:val="en-US"/>
          <w14:ligatures w14:val="none"/>
        </w:rPr>
        <w:t>s</w:t>
      </w:r>
      <w:r w:rsidRPr="515FF2DE" w:rsidR="00614518">
        <w:rPr>
          <w:rFonts w:ascii="Proxima Nova" w:hAnsi="Proxima Nova" w:eastAsia="Times New Roman" w:cs="Segoe UI"/>
          <w:i w:val="1"/>
          <w:iCs w:val="1"/>
          <w:sz w:val="21"/>
          <w:szCs w:val="21"/>
          <w:lang w:val="en-US"/>
          <w14:ligatures w14:val="none"/>
        </w:rPr>
        <w:t xml:space="preserve"> for opposition parties</w:t>
      </w:r>
      <w:r w:rsidRPr="515FF2DE" w:rsidR="00614518">
        <w:rPr>
          <w:rFonts w:ascii="Proxima Nova" w:hAnsi="Proxima Nova" w:eastAsia="Times New Roman" w:cs="Segoe UI"/>
          <w:i w:val="1"/>
          <w:iCs w:val="1"/>
          <w:sz w:val="21"/>
          <w:szCs w:val="21"/>
          <w:lang w:val="en-US"/>
        </w:rPr>
        <w:t xml:space="preserve"> </w:t>
      </w:r>
      <w:r w:rsidRPr="515FF2DE" w:rsidR="00614518">
        <w:rPr>
          <w:rFonts w:ascii="Proxima Nova" w:hAnsi="Proxima Nova" w:eastAsia="Times New Roman" w:cs="Segoe UI"/>
          <w:i w:val="1"/>
          <w:iCs w:val="1"/>
          <w:sz w:val="21"/>
          <w:szCs w:val="21"/>
          <w:lang w:val="en-US"/>
          <w14:ligatures w14:val="none"/>
        </w:rPr>
        <w:t xml:space="preserve">to exploit the situation. </w:t>
      </w:r>
      <w:r w:rsidRPr="515FF2DE" w:rsidR="00614518">
        <w:rPr>
          <w:rFonts w:ascii="Proxima Nova" w:hAnsi="Proxima Nova" w:eastAsia="Times New Roman" w:cs="Segoe UI"/>
          <w:i w:val="1"/>
          <w:iCs w:val="1"/>
          <w:sz w:val="21"/>
          <w:szCs w:val="21"/>
          <w:lang w:val="en-US"/>
        </w:rPr>
        <w:t xml:space="preserve">They have </w:t>
      </w:r>
      <w:r w:rsidRPr="515FF2DE" w:rsidR="00614518">
        <w:rPr>
          <w:rFonts w:ascii="Proxima Nova" w:hAnsi="Proxima Nova" w:eastAsia="Times New Roman" w:cs="Segoe UI"/>
          <w:i w:val="1"/>
          <w:iCs w:val="1"/>
          <w:sz w:val="21"/>
          <w:szCs w:val="21"/>
          <w:lang w:val="en-US"/>
          <w14:ligatures w14:val="none"/>
        </w:rPr>
        <w:t xml:space="preserve">undertaken a campaign blaming the West for the war and undermining support for Ukraine, which has resonated with </w:t>
      </w:r>
      <w:r w:rsidRPr="515FF2DE" w:rsidR="00614518">
        <w:rPr>
          <w:rFonts w:ascii="Proxima Nova" w:hAnsi="Proxima Nova" w:eastAsia="Times New Roman" w:cs="Segoe UI"/>
          <w:i w:val="1"/>
          <w:iCs w:val="1"/>
          <w:sz w:val="21"/>
          <w:szCs w:val="21"/>
          <w:lang w:val="en-US"/>
          <w14:ligatures w14:val="none"/>
        </w:rPr>
        <w:t xml:space="preserve">a significant portion</w:t>
      </w:r>
      <w:r w:rsidRPr="515FF2DE" w:rsidR="00614518">
        <w:rPr>
          <w:rFonts w:ascii="Proxima Nova" w:hAnsi="Proxima Nova" w:eastAsia="Times New Roman" w:cs="Segoe UI"/>
          <w:i w:val="1"/>
          <w:iCs w:val="1"/>
          <w:sz w:val="21"/>
          <w:szCs w:val="21"/>
          <w:lang w:val="en-US"/>
          <w14:ligatures w14:val="none"/>
        </w:rPr>
        <w:t xml:space="preserve"> of the population. Capitalizing on frustrations and fears, a few representatives have successfully swayed the so-called </w:t>
      </w:r>
      <w:r w:rsidRPr="515FF2DE" w:rsidR="00614518">
        <w:rPr>
          <w:rFonts w:ascii="Proxima Nova" w:hAnsi="Proxima Nova" w:eastAsia="Times New Roman" w:cs="Segoe UI"/>
          <w:i w:val="1"/>
          <w:iCs w:val="1"/>
          <w:sz w:val="21"/>
          <w:szCs w:val="21"/>
          <w:lang w:val="en-US"/>
          <w14:ligatures w14:val="none"/>
        </w:rPr>
        <w:t>“</w:t>
      </w:r>
      <w:r w:rsidRPr="515FF2DE" w:rsidR="00614518">
        <w:rPr>
          <w:rFonts w:ascii="Proxima Nova" w:hAnsi="Proxima Nova" w:eastAsia="Times New Roman" w:cs="Segoe UI"/>
          <w:i w:val="1"/>
          <w:iCs w:val="1"/>
          <w:sz w:val="21"/>
          <w:szCs w:val="21"/>
          <w:lang w:val="en-US"/>
          <w14:ligatures w14:val="none"/>
        </w:rPr>
        <w:t>grey zone</w:t>
      </w:r>
      <w:r w:rsidRPr="515FF2DE" w:rsidR="00614518">
        <w:rPr>
          <w:rFonts w:ascii="Proxima Nova" w:hAnsi="Proxima Nova" w:eastAsia="Times New Roman" w:cs="Segoe UI"/>
          <w:i w:val="1"/>
          <w:iCs w:val="1"/>
          <w:sz w:val="21"/>
          <w:szCs w:val="21"/>
          <w:lang w:val="en-US"/>
          <w14:ligatures w14:val="none"/>
        </w:rPr>
        <w:t>”</w:t>
      </w:r>
      <w:r w:rsidRPr="515FF2DE" w:rsidR="00614518">
        <w:rPr>
          <w:rFonts w:ascii="Proxima Nova" w:hAnsi="Proxima Nova" w:eastAsia="Times New Roman" w:cs="Segoe UI"/>
          <w:i w:val="1"/>
          <w:iCs w:val="1"/>
          <w:sz w:val="21"/>
          <w:szCs w:val="21"/>
          <w:lang w:val="en-US"/>
          <w14:ligatures w14:val="none"/>
        </w:rPr>
        <w:t xml:space="preserve"> of public opinion</w:t>
      </w:r>
      <w:r w:rsidRPr="515FF2DE" w:rsidR="00614518">
        <w:rPr>
          <w:rFonts w:ascii="Proxima Nova" w:hAnsi="Proxima Nova" w:eastAsia="Times New Roman" w:cs="Segoe UI"/>
          <w:i w:val="1"/>
          <w:iCs w:val="1"/>
          <w:sz w:val="21"/>
          <w:szCs w:val="21"/>
          <w:lang w:val="en-US"/>
        </w:rPr>
        <w:t xml:space="preserve"> for the moment</w:t>
      </w:r>
      <w:r w:rsidRPr="515FF2DE" w:rsidR="00614518">
        <w:rPr>
          <w:rFonts w:ascii="Proxima Nova" w:hAnsi="Proxima Nova" w:eastAsia="Times New Roman" w:cs="Segoe UI"/>
          <w:i w:val="1"/>
          <w:iCs w:val="1"/>
          <w:sz w:val="21"/>
          <w:szCs w:val="21"/>
          <w:lang w:val="en-US"/>
          <w14:ligatures w14:val="none"/>
        </w:rPr>
        <w:t xml:space="preserve">. As Slovakia </w:t>
      </w:r>
      <w:r w:rsidRPr="515FF2DE" w:rsidR="00614518">
        <w:rPr>
          <w:rFonts w:ascii="Proxima Nova" w:hAnsi="Proxima Nova" w:eastAsia="Times New Roman" w:cs="Segoe UI"/>
          <w:i w:val="1"/>
          <w:iCs w:val="1"/>
          <w:sz w:val="21"/>
          <w:szCs w:val="21"/>
          <w:lang w:val="en-US"/>
          <w14:ligatures w14:val="none"/>
        </w:rPr>
        <w:t xml:space="preserve">anticipates</w:t>
      </w:r>
      <w:r w:rsidRPr="515FF2DE" w:rsidR="00614518">
        <w:rPr>
          <w:rFonts w:ascii="Proxima Nova" w:hAnsi="Proxima Nova" w:eastAsia="Times New Roman" w:cs="Segoe UI"/>
          <w:i w:val="1"/>
          <w:iCs w:val="1"/>
          <w:sz w:val="21"/>
          <w:szCs w:val="21"/>
          <w:lang w:val="en-US"/>
          <w14:ligatures w14:val="none"/>
        </w:rPr>
        <w:t xml:space="preserve"> an early parliamentary election in late September, the campaign is expected to intensify, </w:t>
      </w:r>
      <w:r w:rsidRPr="515FF2DE" w:rsidR="00614518">
        <w:rPr>
          <w:rFonts w:ascii="Proxima Nova" w:hAnsi="Proxima Nova" w:eastAsia="Times New Roman" w:cs="Segoe UI"/>
          <w:i w:val="1"/>
          <w:iCs w:val="1"/>
          <w:sz w:val="21"/>
          <w:szCs w:val="21"/>
          <w:lang w:val="en-US"/>
        </w:rPr>
        <w:t xml:space="preserve">potentially </w:t>
      </w:r>
      <w:r w:rsidRPr="515FF2DE" w:rsidR="00614518">
        <w:rPr>
          <w:rFonts w:ascii="Proxima Nova" w:hAnsi="Proxima Nova" w:eastAsia="Times New Roman" w:cs="Segoe UI"/>
          <w:i w:val="1"/>
          <w:iCs w:val="1"/>
          <w:sz w:val="21"/>
          <w:szCs w:val="21"/>
          <w:lang w:val="en-US"/>
          <w14:ligatures w14:val="none"/>
        </w:rPr>
        <w:t>further shaping the country</w:t>
      </w:r>
      <w:r w:rsidRPr="515FF2DE" w:rsidR="00614518">
        <w:rPr>
          <w:rFonts w:ascii="Proxima Nova" w:hAnsi="Proxima Nova" w:eastAsia="Times New Roman" w:cs="Segoe UI"/>
          <w:i w:val="1"/>
          <w:iCs w:val="1"/>
          <w:sz w:val="21"/>
          <w:szCs w:val="21"/>
          <w:lang w:val="en-US"/>
          <w14:ligatures w14:val="none"/>
        </w:rPr>
        <w:t>’</w:t>
      </w:r>
      <w:r w:rsidRPr="515FF2DE" w:rsidR="00614518">
        <w:rPr>
          <w:rFonts w:ascii="Proxima Nova" w:hAnsi="Proxima Nova" w:eastAsia="Times New Roman" w:cs="Segoe UI"/>
          <w:i w:val="1"/>
          <w:iCs w:val="1"/>
          <w:sz w:val="21"/>
          <w:szCs w:val="21"/>
          <w:lang w:val="en-US"/>
          <w14:ligatures w14:val="none"/>
        </w:rPr>
        <w:t>s political landscape</w:t>
      </w:r>
      <w:r w:rsidR="00614518">
        <w:rPr>
          <w:rFonts w:ascii="Proxima Nova" w:hAnsi="Proxima Nova" w:eastAsia="Times New Roman" w:cs="Segoe UI"/>
          <w:sz w:val="21"/>
          <w:szCs w:val="21"/>
          <w:lang w:val="en-US"/>
          <w14:ligatures w14:val="none"/>
        </w:rPr>
        <w:t>,” explained</w:t>
      </w:r>
      <w:r w:rsidRPr="574BAD7C" w:rsidR="00614518">
        <w:rPr>
          <w:rFonts w:ascii="Proxima Nova" w:hAnsi="Proxima Nova" w:eastAsia="Times New Roman" w:cs="Segoe UI"/>
          <w:sz w:val="21"/>
          <w:szCs w:val="21"/>
          <w:lang w:val="en-US"/>
        </w:rPr>
        <w:t xml:space="preserve"> Katar</w:t>
      </w:r>
      <w:r w:rsidRPr="574BAD7C" w:rsidR="655560CA">
        <w:rPr>
          <w:rFonts w:ascii="Proxima Nova" w:hAnsi="Proxima Nova" w:eastAsia="Times New Roman" w:cs="Segoe UI"/>
          <w:sz w:val="21"/>
          <w:szCs w:val="21"/>
          <w:lang w:val="en-US"/>
        </w:rPr>
        <w:t xml:space="preserve">í</w:t>
      </w:r>
      <w:r w:rsidRPr="574BAD7C" w:rsidR="00614518">
        <w:rPr>
          <w:rFonts w:ascii="Proxima Nova" w:hAnsi="Proxima Nova" w:eastAsia="Times New Roman" w:cs="Segoe UI"/>
          <w:sz w:val="21"/>
          <w:szCs w:val="21"/>
          <w:lang w:val="en-US"/>
        </w:rPr>
        <w:t xml:space="preserve">na Klingov</w:t>
      </w:r>
      <w:r w:rsidRPr="574BAD7C" w:rsidR="185A8442">
        <w:rPr>
          <w:rFonts w:ascii="Proxima Nova" w:hAnsi="Proxima Nova" w:eastAsia="Times New Roman" w:cs="Segoe UI"/>
          <w:sz w:val="21"/>
          <w:szCs w:val="21"/>
          <w:lang w:val="en-US"/>
        </w:rPr>
        <w:t xml:space="preserve">á</w:t>
      </w:r>
      <w:r w:rsidRPr="574BAD7C" w:rsidR="00614518">
        <w:rPr>
          <w:rFonts w:ascii="Proxima Nova" w:hAnsi="Proxima Nova" w:eastAsia="Times New Roman" w:cs="Segoe UI"/>
          <w:sz w:val="21"/>
          <w:szCs w:val="21"/>
          <w:lang w:val="en-US"/>
        </w:rPr>
        <w:t xml:space="preserve">, </w:t>
      </w:r>
      <w:r w:rsidR="00614518">
        <w:rPr>
          <w:rFonts w:ascii="Proxima Nova" w:hAnsi="Proxima Nova" w:eastAsia="Times New Roman" w:cs="Segoe UI"/>
          <w:sz w:val="21"/>
          <w:szCs w:val="21"/>
          <w:lang w:val="en-US"/>
        </w:rPr>
        <w:t xml:space="preserve">a </w:t>
      </w:r>
      <w:r w:rsidRPr="574BAD7C" w:rsidR="00614518">
        <w:rPr>
          <w:rFonts w:ascii="Proxima Nova" w:hAnsi="Proxima Nova" w:eastAsia="Times New Roman" w:cs="Segoe UI"/>
          <w:sz w:val="21"/>
          <w:szCs w:val="21"/>
          <w:lang w:val="en-US"/>
        </w:rPr>
        <w:t>GLOBSEC senior research fellow</w:t>
      </w:r>
      <w:r w:rsidR="00614518">
        <w:rPr>
          <w:rFonts w:ascii="Proxima Nova" w:hAnsi="Proxima Nova" w:eastAsia="Times New Roman" w:cs="Segoe UI"/>
          <w:sz w:val="21"/>
          <w:szCs w:val="21"/>
          <w:lang w:val="en-US"/>
          <w14:ligatures w14:val="none"/>
        </w:rPr>
        <w:t>.</w:t>
      </w:r>
      <w:r w:rsidRPr="00A446C0" w:rsidR="00614518">
        <w:rPr>
          <w:rFonts w:ascii="Proxima Nova" w:hAnsi="Proxima Nova" w:eastAsia="Times New Roman" w:cs="Segoe UI"/>
          <w:sz w:val="21"/>
          <w:szCs w:val="21"/>
          <w:lang w:val="en-US"/>
          <w14:ligatures w14:val="none"/>
        </w:rPr>
        <w:t> </w:t>
      </w:r>
    </w:p>
    <w:p w:rsidRPr="00A446C0" w:rsidR="00614518" w:rsidP="00614518" w:rsidRDefault="00614518" w14:paraId="20DD295B" w14:textId="77777777">
      <w:pPr>
        <w:spacing w:after="0" w:line="240" w:lineRule="auto"/>
        <w:jc w:val="both"/>
        <w:textAlignment w:val="baseline"/>
        <w:rPr>
          <w:rFonts w:ascii="Segoe UI" w:hAnsi="Segoe UI" w:eastAsia="Times New Roman" w:cs="Segoe UI"/>
          <w:sz w:val="18"/>
          <w:szCs w:val="18"/>
          <w:lang w:val="en-US"/>
          <w14:ligatures w14:val="none"/>
        </w:rPr>
      </w:pPr>
      <w:r w:rsidRPr="00A446C0">
        <w:rPr>
          <w:rFonts w:ascii="Proxima Nova" w:hAnsi="Proxima Nova" w:eastAsia="Times New Roman" w:cs="Segoe UI"/>
          <w:sz w:val="21"/>
          <w:szCs w:val="21"/>
          <w:lang w:val="en-US"/>
          <w14:ligatures w14:val="none"/>
        </w:rPr>
        <w:t> </w:t>
      </w:r>
    </w:p>
    <w:p w:rsidR="00614518" w:rsidP="00614518" w:rsidRDefault="00614518" w14:paraId="5F88474C" w14:textId="6DAA89B6">
      <w:pPr>
        <w:spacing w:after="0" w:line="240" w:lineRule="auto"/>
        <w:jc w:val="both"/>
        <w:textAlignment w:val="baseline"/>
        <w:rPr>
          <w:rFonts w:ascii="Proxima Nova" w:hAnsi="Proxima Nova" w:eastAsia="Times New Roman" w:cs="Segoe UI"/>
          <w:sz w:val="21"/>
          <w:szCs w:val="21"/>
          <w:lang w:val="en-US"/>
          <w14:ligatures w14:val="none"/>
        </w:rPr>
      </w:pPr>
      <w:r w:rsidRPr="00A446C0">
        <w:rPr>
          <w:rFonts w:ascii="Proxima Nova" w:hAnsi="Proxima Nova" w:eastAsia="Times New Roman" w:cs="Segoe UI"/>
          <w:sz w:val="21"/>
          <w:szCs w:val="21"/>
          <w:lang w:val="en-US"/>
          <w14:ligatures w14:val="none"/>
        </w:rPr>
        <w:t xml:space="preserve">The case of Slovakia also highlights the broader challenges faced by Central and Eastern European countries </w:t>
      </w:r>
      <w:proofErr w:type="gramStart"/>
      <w:r w:rsidRPr="00A446C0">
        <w:rPr>
          <w:rFonts w:ascii="Proxima Nova" w:hAnsi="Proxima Nova" w:eastAsia="Times New Roman" w:cs="Segoe UI"/>
          <w:sz w:val="21"/>
          <w:szCs w:val="21"/>
          <w:lang w:val="en-US"/>
          <w14:ligatures w14:val="none"/>
        </w:rPr>
        <w:t>in the midst of</w:t>
      </w:r>
      <w:proofErr w:type="gramEnd"/>
      <w:r w:rsidRPr="00A446C0">
        <w:rPr>
          <w:rFonts w:ascii="Proxima Nova" w:hAnsi="Proxima Nova" w:eastAsia="Times New Roman" w:cs="Segoe UI"/>
          <w:sz w:val="21"/>
          <w:szCs w:val="21"/>
          <w:lang w:val="en-US"/>
          <w14:ligatures w14:val="none"/>
        </w:rPr>
        <w:t xml:space="preserve"> Russia's aggression and manipulative narratives. The susceptibility to disinformation and internal politics continue to shape public opinion across the region. It underscores the need for policymakers, civil society, and the media to promote </w:t>
      </w:r>
      <w:proofErr w:type="gramStart"/>
      <w:r w:rsidRPr="00A446C0">
        <w:rPr>
          <w:rFonts w:ascii="Proxima Nova" w:hAnsi="Proxima Nova" w:eastAsia="Times New Roman" w:cs="Segoe UI"/>
          <w:sz w:val="21"/>
          <w:szCs w:val="21"/>
          <w:lang w:val="en-US"/>
          <w14:ligatures w14:val="none"/>
        </w:rPr>
        <w:t>factual information</w:t>
      </w:r>
      <w:proofErr w:type="gramEnd"/>
      <w:r w:rsidRPr="00A446C0">
        <w:rPr>
          <w:rFonts w:ascii="Proxima Nova" w:hAnsi="Proxima Nova" w:eastAsia="Times New Roman" w:cs="Segoe UI"/>
          <w:sz w:val="21"/>
          <w:szCs w:val="21"/>
          <w:lang w:val="en-US"/>
          <w14:ligatures w14:val="none"/>
        </w:rPr>
        <w:t>, foster unity and address the underlying factors that contribute to shifting views. </w:t>
      </w:r>
    </w:p>
    <w:p w:rsidR="00614518" w:rsidP="00614518" w:rsidRDefault="00614518" w14:paraId="0A241424" w14:textId="77777777">
      <w:pPr>
        <w:spacing w:after="0" w:line="240" w:lineRule="auto"/>
        <w:jc w:val="both"/>
        <w:textAlignment w:val="baseline"/>
        <w:rPr>
          <w:rFonts w:ascii="Segoe UI" w:hAnsi="Segoe UI" w:eastAsia="Times New Roman" w:cs="Segoe UI"/>
          <w:sz w:val="18"/>
          <w:szCs w:val="18"/>
          <w:lang w:val="en-US"/>
          <w14:ligatures w14:val="none"/>
        </w:rPr>
      </w:pPr>
    </w:p>
    <w:p w:rsidR="00614518" w:rsidP="00614518" w:rsidRDefault="00614518" w14:paraId="25256147" w14:textId="1FD65DB7">
      <w:pPr>
        <w:spacing w:after="0" w:line="240" w:lineRule="auto"/>
        <w:jc w:val="both"/>
        <w:textAlignment w:val="baseline"/>
        <w:rPr>
          <w:rFonts w:ascii="Proxima Nova" w:hAnsi="Proxima Nova" w:cs="Calibri"/>
          <w:sz w:val="21"/>
          <w:szCs w:val="21"/>
        </w:rPr>
      </w:pPr>
      <w:r>
        <w:rPr>
          <w:rStyle w:val="normaltextrun"/>
          <w:rFonts w:ascii="Proxima Nova" w:hAnsi="Proxima Nova"/>
          <w:color w:val="000000"/>
          <w:sz w:val="21"/>
          <w:szCs w:val="21"/>
          <w:shd w:val="clear" w:color="auto" w:fill="FFFFFF"/>
        </w:rPr>
        <w:t xml:space="preserve">Overall, the report shows that the perception of truth in the </w:t>
      </w:r>
      <w:r w:rsidR="00A54D7A">
        <w:rPr>
          <w:rStyle w:val="normaltextrun"/>
          <w:rFonts w:ascii="Proxima Nova" w:hAnsi="Proxima Nova"/>
          <w:color w:val="000000"/>
          <w:sz w:val="21"/>
          <w:szCs w:val="21"/>
          <w:shd w:val="clear" w:color="auto" w:fill="FFFFFF"/>
        </w:rPr>
        <w:t xml:space="preserve">CEE </w:t>
      </w:r>
      <w:r>
        <w:rPr>
          <w:rStyle w:val="normaltextrun"/>
          <w:rFonts w:ascii="Proxima Nova" w:hAnsi="Proxima Nova"/>
          <w:color w:val="000000"/>
          <w:sz w:val="21"/>
          <w:szCs w:val="21"/>
          <w:shd w:val="clear" w:color="auto" w:fill="FFFFFF"/>
        </w:rPr>
        <w:t>region prevails over falsehoods, but not universally.</w:t>
      </w:r>
      <w:r>
        <w:rPr>
          <w:rFonts w:ascii="Proxima Nova" w:hAnsi="Proxima Nova" w:cs="Calibri"/>
          <w:sz w:val="21"/>
          <w:szCs w:val="21"/>
        </w:rPr>
        <w:t xml:space="preserve"> For instance, </w:t>
      </w:r>
      <w:r w:rsidRPr="007868DD">
        <w:rPr>
          <w:rFonts w:ascii="Proxima Nova" w:hAnsi="Proxima Nova" w:cs="Calibri"/>
          <w:sz w:val="21"/>
          <w:szCs w:val="21"/>
        </w:rPr>
        <w:t xml:space="preserve">the impact of </w:t>
      </w:r>
      <w:r>
        <w:rPr>
          <w:rFonts w:ascii="Proxima Nova" w:hAnsi="Proxima Nova" w:cs="Calibri"/>
          <w:sz w:val="21"/>
          <w:szCs w:val="21"/>
        </w:rPr>
        <w:t xml:space="preserve">the </w:t>
      </w:r>
      <w:r>
        <w:rPr>
          <w:rFonts w:ascii="Proxima Nova" w:hAnsi="Proxima Nova" w:cs="Calibri"/>
          <w:sz w:val="21"/>
          <w:szCs w:val="21"/>
        </w:rPr>
        <w:t xml:space="preserve">health-related disinformation shared during the </w:t>
      </w:r>
      <w:r w:rsidRPr="007868DD">
        <w:rPr>
          <w:rFonts w:ascii="Proxima Nova" w:hAnsi="Proxima Nova" w:cs="Calibri"/>
          <w:sz w:val="21"/>
          <w:szCs w:val="21"/>
        </w:rPr>
        <w:t xml:space="preserve">COVID-19 pandemic </w:t>
      </w:r>
      <w:r>
        <w:rPr>
          <w:rFonts w:ascii="Proxima Nova" w:hAnsi="Proxima Nova" w:cs="Calibri"/>
          <w:sz w:val="21"/>
          <w:szCs w:val="21"/>
        </w:rPr>
        <w:t xml:space="preserve">contributed to </w:t>
      </w:r>
      <w:r w:rsidRPr="007868DD">
        <w:rPr>
          <w:rFonts w:ascii="Proxima Nova" w:hAnsi="Proxima Nova" w:cs="Calibri"/>
          <w:sz w:val="21"/>
          <w:szCs w:val="21"/>
        </w:rPr>
        <w:t xml:space="preserve">distrust </w:t>
      </w:r>
      <w:r w:rsidRPr="007868DD">
        <w:rPr>
          <w:rFonts w:ascii="Proxima Nova" w:hAnsi="Proxima Nova" w:cs="Calibri"/>
          <w:sz w:val="21"/>
          <w:szCs w:val="21"/>
        </w:rPr>
        <w:t xml:space="preserve">towards pharmaceutical companies, health organisations and vaccinations. </w:t>
      </w:r>
      <w:r>
        <w:rPr>
          <w:rFonts w:ascii="Proxima Nova" w:hAnsi="Proxima Nova" w:cs="Calibri"/>
          <w:sz w:val="21"/>
          <w:szCs w:val="21"/>
        </w:rPr>
        <w:t xml:space="preserve">Approximately </w:t>
      </w:r>
      <w:r w:rsidRPr="007868DD">
        <w:rPr>
          <w:rFonts w:ascii="Proxima Nova" w:hAnsi="Proxima Nova" w:cs="Calibri"/>
          <w:sz w:val="21"/>
          <w:szCs w:val="21"/>
        </w:rPr>
        <w:t xml:space="preserve">37% </w:t>
      </w:r>
      <w:r>
        <w:rPr>
          <w:rFonts w:ascii="Proxima Nova" w:hAnsi="Proxima Nova" w:cs="Calibri"/>
          <w:sz w:val="21"/>
          <w:szCs w:val="21"/>
        </w:rPr>
        <w:t xml:space="preserve">of the </w:t>
      </w:r>
      <w:r w:rsidR="00A54D7A">
        <w:rPr>
          <w:rFonts w:ascii="Proxima Nova" w:hAnsi="Proxima Nova" w:cs="Calibri"/>
          <w:sz w:val="21"/>
          <w:szCs w:val="21"/>
        </w:rPr>
        <w:t xml:space="preserve">CEE </w:t>
      </w:r>
      <w:r>
        <w:rPr>
          <w:rFonts w:ascii="Proxima Nova" w:hAnsi="Proxima Nova" w:cs="Calibri"/>
          <w:sz w:val="21"/>
          <w:szCs w:val="21"/>
        </w:rPr>
        <w:t xml:space="preserve">region </w:t>
      </w:r>
      <w:r w:rsidRPr="007868DD">
        <w:rPr>
          <w:rFonts w:ascii="Proxima Nova" w:hAnsi="Proxima Nova" w:cs="Calibri"/>
          <w:sz w:val="21"/>
          <w:szCs w:val="21"/>
        </w:rPr>
        <w:t>believe that COVID-19 vaccin</w:t>
      </w:r>
      <w:r>
        <w:rPr>
          <w:rFonts w:ascii="Proxima Nova" w:hAnsi="Proxima Nova" w:cs="Calibri"/>
          <w:sz w:val="21"/>
          <w:szCs w:val="21"/>
        </w:rPr>
        <w:t>es</w:t>
      </w:r>
      <w:r w:rsidRPr="007868DD">
        <w:rPr>
          <w:rFonts w:ascii="Proxima Nova" w:hAnsi="Proxima Nova" w:cs="Calibri"/>
          <w:sz w:val="21"/>
          <w:szCs w:val="21"/>
        </w:rPr>
        <w:t xml:space="preserve"> increase the </w:t>
      </w:r>
      <w:r>
        <w:rPr>
          <w:rFonts w:ascii="Proxima Nova" w:hAnsi="Proxima Nova" w:cs="Calibri"/>
          <w:sz w:val="21"/>
          <w:szCs w:val="21"/>
        </w:rPr>
        <w:t xml:space="preserve">risk </w:t>
      </w:r>
      <w:r w:rsidRPr="007868DD">
        <w:rPr>
          <w:rFonts w:ascii="Proxima Nova" w:hAnsi="Proxima Nova" w:cs="Calibri"/>
          <w:sz w:val="21"/>
          <w:szCs w:val="21"/>
        </w:rPr>
        <w:t xml:space="preserve">of </w:t>
      </w:r>
      <w:r>
        <w:rPr>
          <w:rFonts w:ascii="Proxima Nova" w:hAnsi="Proxima Nova" w:cs="Calibri"/>
          <w:sz w:val="21"/>
          <w:szCs w:val="21"/>
        </w:rPr>
        <w:t xml:space="preserve">premature </w:t>
      </w:r>
      <w:r w:rsidRPr="007868DD">
        <w:rPr>
          <w:rFonts w:ascii="Proxima Nova" w:hAnsi="Proxima Nova" w:cs="Calibri"/>
          <w:sz w:val="21"/>
          <w:szCs w:val="21"/>
        </w:rPr>
        <w:t>deaths</w:t>
      </w:r>
      <w:r>
        <w:rPr>
          <w:rFonts w:ascii="Proxima Nova" w:hAnsi="Proxima Nova" w:cs="Calibri"/>
          <w:sz w:val="21"/>
          <w:szCs w:val="21"/>
        </w:rPr>
        <w:t xml:space="preserve">, </w:t>
      </w:r>
      <w:r w:rsidRPr="007868DD">
        <w:rPr>
          <w:rFonts w:ascii="Proxima Nova" w:hAnsi="Proxima Nova" w:cs="Calibri"/>
          <w:sz w:val="21"/>
          <w:szCs w:val="21"/>
        </w:rPr>
        <w:t xml:space="preserve">and 56% </w:t>
      </w:r>
      <w:r>
        <w:rPr>
          <w:rFonts w:ascii="Proxima Nova" w:hAnsi="Proxima Nova" w:cs="Calibri"/>
          <w:sz w:val="21"/>
          <w:szCs w:val="21"/>
        </w:rPr>
        <w:t xml:space="preserve">suspect </w:t>
      </w:r>
      <w:r w:rsidRPr="007868DD">
        <w:rPr>
          <w:rFonts w:ascii="Proxima Nova" w:hAnsi="Proxima Nova" w:cs="Calibri"/>
          <w:sz w:val="21"/>
          <w:szCs w:val="21"/>
        </w:rPr>
        <w:t xml:space="preserve">pharmaceutical companies </w:t>
      </w:r>
      <w:r>
        <w:rPr>
          <w:rFonts w:ascii="Proxima Nova" w:hAnsi="Proxima Nova" w:cs="Calibri"/>
          <w:sz w:val="21"/>
          <w:szCs w:val="21"/>
        </w:rPr>
        <w:t xml:space="preserve">of concealing </w:t>
      </w:r>
      <w:r w:rsidRPr="007868DD">
        <w:rPr>
          <w:rFonts w:ascii="Proxima Nova" w:hAnsi="Proxima Nova" w:cs="Calibri"/>
          <w:sz w:val="21"/>
          <w:szCs w:val="21"/>
        </w:rPr>
        <w:t>effective</w:t>
      </w:r>
      <w:r>
        <w:rPr>
          <w:rFonts w:ascii="Proxima Nova" w:hAnsi="Proxima Nova" w:cs="Calibri"/>
          <w:sz w:val="21"/>
          <w:szCs w:val="21"/>
        </w:rPr>
        <w:t xml:space="preserve"> </w:t>
      </w:r>
      <w:r w:rsidRPr="007868DD">
        <w:rPr>
          <w:rFonts w:ascii="Proxima Nova" w:hAnsi="Proxima Nova" w:cs="Calibri"/>
          <w:sz w:val="21"/>
          <w:szCs w:val="21"/>
        </w:rPr>
        <w:t>treatment</w:t>
      </w:r>
      <w:r>
        <w:rPr>
          <w:rFonts w:ascii="Proxima Nova" w:hAnsi="Proxima Nova" w:cs="Calibri"/>
          <w:sz w:val="21"/>
          <w:szCs w:val="21"/>
        </w:rPr>
        <w:t>s</w:t>
      </w:r>
      <w:r w:rsidRPr="007868DD">
        <w:rPr>
          <w:rFonts w:ascii="Proxima Nova" w:hAnsi="Proxima Nova" w:cs="Calibri"/>
          <w:sz w:val="21"/>
          <w:szCs w:val="21"/>
        </w:rPr>
        <w:t xml:space="preserve"> for diseases </w:t>
      </w:r>
      <w:r>
        <w:rPr>
          <w:rFonts w:ascii="Proxima Nova" w:hAnsi="Proxima Nova" w:cs="Calibri"/>
          <w:sz w:val="21"/>
          <w:szCs w:val="21"/>
        </w:rPr>
        <w:t xml:space="preserve">like </w:t>
      </w:r>
      <w:r w:rsidRPr="007868DD">
        <w:rPr>
          <w:rFonts w:ascii="Proxima Nova" w:hAnsi="Proxima Nova" w:cs="Calibri"/>
          <w:sz w:val="21"/>
          <w:szCs w:val="21"/>
        </w:rPr>
        <w:t>COVID-19</w:t>
      </w:r>
      <w:r>
        <w:rPr>
          <w:rFonts w:ascii="Proxima Nova" w:hAnsi="Proxima Nova" w:cs="Calibri"/>
          <w:sz w:val="21"/>
          <w:szCs w:val="21"/>
        </w:rPr>
        <w:t xml:space="preserve"> and </w:t>
      </w:r>
      <w:r w:rsidRPr="007868DD">
        <w:rPr>
          <w:rFonts w:ascii="Proxima Nova" w:hAnsi="Proxima Nova" w:cs="Calibri"/>
          <w:sz w:val="21"/>
          <w:szCs w:val="21"/>
        </w:rPr>
        <w:t>cancer</w:t>
      </w:r>
      <w:r>
        <w:rPr>
          <w:rFonts w:ascii="Proxima Nova" w:hAnsi="Proxima Nova" w:cs="Calibri"/>
          <w:sz w:val="21"/>
          <w:szCs w:val="21"/>
        </w:rPr>
        <w:t xml:space="preserve"> due to profit motives</w:t>
      </w:r>
      <w:r w:rsidRPr="007868DD">
        <w:rPr>
          <w:rFonts w:ascii="Proxima Nova" w:hAnsi="Proxima Nova" w:cs="Calibri"/>
          <w:sz w:val="21"/>
          <w:szCs w:val="21"/>
        </w:rPr>
        <w:t xml:space="preserve">. </w:t>
      </w:r>
      <w:r>
        <w:rPr>
          <w:rFonts w:ascii="Proxima Nova" w:hAnsi="Proxima Nova" w:cs="Calibri"/>
          <w:sz w:val="21"/>
          <w:szCs w:val="21"/>
        </w:rPr>
        <w:t>“</w:t>
      </w:r>
      <w:r w:rsidRPr="00DB02A4">
        <w:rPr>
          <w:rFonts w:ascii="Proxima Nova" w:hAnsi="Proxima Nova" w:cs="Calibri"/>
          <w:i/>
          <w:iCs/>
          <w:sz w:val="21"/>
          <w:szCs w:val="21"/>
        </w:rPr>
        <w:t xml:space="preserve">These sentiments also resonate in societies that exhibit greater resilience against geopolitical misinformation, such as Czechia and Poland. To ensure preparedness for future health </w:t>
      </w:r>
      <w:r>
        <w:rPr>
          <w:rFonts w:ascii="Proxima Nova" w:hAnsi="Proxima Nova" w:cs="Calibri"/>
          <w:i/>
          <w:iCs/>
          <w:sz w:val="21"/>
          <w:szCs w:val="21"/>
        </w:rPr>
        <w:t>crises</w:t>
      </w:r>
      <w:r w:rsidRPr="00DB02A4">
        <w:rPr>
          <w:rFonts w:ascii="Proxima Nova" w:hAnsi="Proxima Nova" w:cs="Calibri"/>
          <w:i/>
          <w:iCs/>
          <w:sz w:val="21"/>
          <w:szCs w:val="21"/>
        </w:rPr>
        <w:t>, the distrust should be addressed now</w:t>
      </w:r>
      <w:r w:rsidRPr="574BAD7C">
        <w:rPr>
          <w:rFonts w:ascii="Proxima Nova" w:hAnsi="Proxima Nova" w:cs="Calibri"/>
          <w:i/>
          <w:iCs/>
          <w:sz w:val="21"/>
          <w:szCs w:val="21"/>
        </w:rPr>
        <w:t>,</w:t>
      </w:r>
      <w:r w:rsidRPr="00DB02A4">
        <w:rPr>
          <w:rFonts w:ascii="Proxima Nova" w:hAnsi="Proxima Nova" w:cs="Calibri"/>
          <w:i/>
          <w:iCs/>
          <w:sz w:val="21"/>
          <w:szCs w:val="21"/>
        </w:rPr>
        <w:t xml:space="preserve"> when health is not </w:t>
      </w:r>
      <w:r w:rsidRPr="574BAD7C">
        <w:rPr>
          <w:rFonts w:ascii="Proxima Nova" w:hAnsi="Proxima Nova" w:cs="Calibri"/>
          <w:i/>
          <w:iCs/>
          <w:sz w:val="21"/>
          <w:szCs w:val="21"/>
        </w:rPr>
        <w:t>at the top of the</w:t>
      </w:r>
      <w:r w:rsidRPr="00DB02A4">
        <w:rPr>
          <w:rFonts w:ascii="Proxima Nova" w:hAnsi="Proxima Nova" w:cs="Calibri"/>
          <w:i/>
          <w:iCs/>
          <w:sz w:val="21"/>
          <w:szCs w:val="21"/>
        </w:rPr>
        <w:t xml:space="preserve"> political agenda</w:t>
      </w:r>
      <w:r>
        <w:rPr>
          <w:rFonts w:ascii="Proxima Nova" w:hAnsi="Proxima Nova" w:cs="Calibri"/>
          <w:sz w:val="21"/>
          <w:szCs w:val="21"/>
        </w:rPr>
        <w:t xml:space="preserve">,” commented Patrik Szicherle, a GLOBSEC </w:t>
      </w:r>
      <w:r>
        <w:rPr>
          <w:rFonts w:ascii="Proxima Nova" w:hAnsi="Proxima Nova" w:cs="Calibri"/>
          <w:sz w:val="21"/>
          <w:szCs w:val="21"/>
        </w:rPr>
        <w:t xml:space="preserve">research fellow. </w:t>
      </w:r>
    </w:p>
    <w:p w:rsidR="0069607A" w:rsidP="00614518" w:rsidRDefault="0069607A" w14:paraId="20D96003" w14:textId="77777777">
      <w:pPr>
        <w:spacing w:after="0" w:line="240" w:lineRule="auto"/>
        <w:jc w:val="both"/>
        <w:textAlignment w:val="baseline"/>
        <w:rPr>
          <w:rFonts w:ascii="Proxima Nova" w:hAnsi="Proxima Nova" w:cs="Calibri"/>
          <w:sz w:val="21"/>
          <w:szCs w:val="21"/>
        </w:rPr>
      </w:pPr>
    </w:p>
    <w:p w:rsidRPr="00E76504" w:rsidR="0069607A" w:rsidP="00614518" w:rsidRDefault="0069607A" w14:paraId="4A308DCD" w14:textId="77777777">
      <w:pPr>
        <w:spacing w:after="0" w:line="240" w:lineRule="auto"/>
        <w:jc w:val="both"/>
        <w:textAlignment w:val="baseline"/>
        <w:rPr>
          <w:rFonts w:ascii="Segoe UI" w:hAnsi="Segoe UI" w:eastAsia="Times New Roman" w:cs="Segoe UI"/>
          <w:sz w:val="18"/>
          <w:szCs w:val="18"/>
          <w:lang w:val="en-US"/>
          <w14:ligatures w14:val="none"/>
        </w:rPr>
      </w:pPr>
    </w:p>
    <w:p w:rsidR="00614518" w:rsidP="00614518" w:rsidRDefault="002448D6" w14:paraId="26119D1D" w14:textId="08163F95">
      <w:pPr>
        <w:pStyle w:val="paragraph"/>
        <w:spacing w:before="0" w:beforeAutospacing="0" w:after="0" w:afterAutospacing="0" w:line="259" w:lineRule="auto"/>
        <w:jc w:val="both"/>
        <w:rPr>
          <w:rFonts w:ascii="Proxima Nova" w:hAnsi="Proxima Nova" w:cs="Calibri"/>
          <w:sz w:val="21"/>
          <w:szCs w:val="21"/>
        </w:rPr>
      </w:pPr>
      <w:r>
        <w:rPr>
          <w:noProof/>
        </w:rPr>
        <w:drawing>
          <wp:inline distT="0" distB="0" distL="0" distR="0" wp14:anchorId="5891F997" wp14:editId="72BA508C">
            <wp:extent cx="5943600" cy="2424430"/>
            <wp:effectExtent l="0" t="0" r="0" b="13970"/>
            <wp:docPr id="1671080812" name="Chart 1">
              <a:extLst xmlns:a="http://schemas.openxmlformats.org/drawingml/2006/main">
                <a:ext uri="{FF2B5EF4-FFF2-40B4-BE49-F238E27FC236}">
                  <a16:creationId xmlns:a16="http://schemas.microsoft.com/office/drawing/2014/main" id="{89549737-4CAD-11DC-5745-CEC72C8FD2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48D6" w:rsidP="00614518" w:rsidRDefault="002448D6" w14:paraId="19936696" w14:textId="77777777">
      <w:pPr>
        <w:pStyle w:val="paragraph"/>
        <w:spacing w:before="0" w:beforeAutospacing="0" w:after="0" w:afterAutospacing="0" w:line="259" w:lineRule="auto"/>
        <w:jc w:val="both"/>
        <w:rPr>
          <w:rFonts w:ascii="Proxima Nova" w:hAnsi="Proxima Nova" w:cs="Calibri"/>
          <w:sz w:val="21"/>
          <w:szCs w:val="21"/>
        </w:rPr>
      </w:pPr>
    </w:p>
    <w:p w:rsidR="002448D6" w:rsidP="002448D6" w:rsidRDefault="00614518" w14:paraId="356FCD91" w14:textId="535957D5">
      <w:pPr>
        <w:pStyle w:val="paragraph"/>
        <w:spacing w:before="0" w:beforeAutospacing="0" w:after="0" w:afterAutospacing="0" w:line="259" w:lineRule="auto"/>
        <w:rPr>
          <w:rFonts w:ascii="Proxima Nova" w:hAnsi="Proxima Nova" w:cs="Calibri"/>
          <w:sz w:val="21"/>
          <w:szCs w:val="21"/>
        </w:rPr>
      </w:pPr>
      <w:r>
        <w:rPr>
          <w:rFonts w:ascii="Proxima Nova" w:hAnsi="Proxima Nova" w:cs="Calibri"/>
          <w:sz w:val="21"/>
          <w:szCs w:val="21"/>
        </w:rPr>
        <w:t>For more</w:t>
      </w:r>
      <w:r>
        <w:rPr>
          <w:rFonts w:ascii="Proxima Nova" w:hAnsi="Proxima Nova" w:cs="Calibri"/>
          <w:sz w:val="21"/>
          <w:szCs w:val="21"/>
        </w:rPr>
        <w:t>,</w:t>
      </w:r>
      <w:r>
        <w:rPr>
          <w:rFonts w:ascii="Proxima Nova" w:hAnsi="Proxima Nova" w:cs="Calibri"/>
          <w:sz w:val="21"/>
          <w:szCs w:val="21"/>
        </w:rPr>
        <w:t xml:space="preserve"> see GLOBSEC Trends 2023 here: </w:t>
      </w:r>
      <w:hyperlink w:history="1" r:id="rId9">
        <w:r w:rsidRPr="00352074">
          <w:rPr>
            <w:rStyle w:val="Hyperlink"/>
            <w:rFonts w:ascii="Proxima Nova" w:hAnsi="Proxima Nova" w:cs="Calibri"/>
            <w:sz w:val="21"/>
            <w:szCs w:val="21"/>
          </w:rPr>
          <w:t>https://www.globsec.org/what-we-do/publications/globsec-trends-2023</w:t>
        </w:r>
      </w:hyperlink>
      <w:r>
        <w:rPr>
          <w:rFonts w:ascii="Proxima Nova" w:hAnsi="Proxima Nova" w:cs="Calibri"/>
          <w:sz w:val="21"/>
          <w:szCs w:val="21"/>
        </w:rPr>
        <w:t xml:space="preserve"> </w:t>
      </w:r>
    </w:p>
    <w:p w:rsidR="002448D6" w:rsidP="002448D6" w:rsidRDefault="002448D6" w14:paraId="72722DEC" w14:textId="77777777">
      <w:pPr>
        <w:pStyle w:val="paragraph"/>
        <w:spacing w:before="0" w:beforeAutospacing="0" w:after="0" w:afterAutospacing="0" w:line="259" w:lineRule="auto"/>
        <w:rPr>
          <w:rFonts w:ascii="Proxima Nova" w:hAnsi="Proxima Nova" w:cs="Calibri"/>
          <w:sz w:val="21"/>
          <w:szCs w:val="21"/>
        </w:rPr>
      </w:pPr>
    </w:p>
    <w:p w:rsidR="002448D6" w:rsidP="002448D6" w:rsidRDefault="002448D6" w14:paraId="61A2FBA0" w14:textId="71EA8E16">
      <w:pPr>
        <w:pStyle w:val="paragraph"/>
        <w:spacing w:before="0" w:beforeAutospacing="0" w:after="0" w:afterAutospacing="0" w:line="259" w:lineRule="auto"/>
        <w:rPr>
          <w:rFonts w:ascii="Proxima Nova" w:hAnsi="Proxima Nova" w:cs="Calibri"/>
          <w:sz w:val="21"/>
          <w:szCs w:val="21"/>
        </w:rPr>
      </w:pPr>
      <w:r>
        <w:rPr>
          <w:rFonts w:ascii="Proxima Nova" w:hAnsi="Proxima Nova" w:cs="Calibri"/>
          <w:sz w:val="21"/>
          <w:szCs w:val="21"/>
        </w:rPr>
        <w:t>Contact for the media:</w:t>
      </w:r>
    </w:p>
    <w:p w:rsidR="002448D6" w:rsidP="002448D6" w:rsidRDefault="002448D6" w14:paraId="68C8EF99" w14:textId="77777777">
      <w:pPr>
        <w:pStyle w:val="paragraph"/>
        <w:spacing w:before="0" w:beforeAutospacing="0" w:after="0" w:afterAutospacing="0" w:line="259" w:lineRule="auto"/>
        <w:rPr>
          <w:rFonts w:ascii="Proxima Nova" w:hAnsi="Proxima Nova" w:cs="Calibri"/>
          <w:sz w:val="21"/>
          <w:szCs w:val="21"/>
        </w:rPr>
      </w:pPr>
    </w:p>
    <w:p w:rsidRPr="002448D6" w:rsidR="002448D6" w:rsidP="002448D6" w:rsidRDefault="002448D6" w14:paraId="3B04578C" w14:textId="77777777">
      <w:pPr>
        <w:pStyle w:val="paragraph"/>
        <w:spacing w:before="0" w:beforeAutospacing="0" w:after="0" w:afterAutospacing="0" w:line="259" w:lineRule="auto"/>
        <w:rPr>
          <w:rFonts w:ascii="Proxima Nova" w:hAnsi="Proxima Nova" w:cs="Calibri"/>
          <w:sz w:val="21"/>
          <w:szCs w:val="21"/>
        </w:rPr>
      </w:pPr>
    </w:p>
    <w:sectPr w:rsidRPr="002448D6" w:rsidR="002448D6">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5094" w:rsidP="00D35094" w:rsidRDefault="00D35094" w14:paraId="47F19CFA" w14:textId="77777777">
      <w:pPr>
        <w:spacing w:after="0" w:line="240" w:lineRule="auto"/>
      </w:pPr>
      <w:r>
        <w:separator/>
      </w:r>
    </w:p>
  </w:endnote>
  <w:endnote w:type="continuationSeparator" w:id="0">
    <w:p w:rsidR="00D35094" w:rsidP="00D35094" w:rsidRDefault="00D35094" w14:paraId="47A706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5094" w:rsidP="00D35094" w:rsidRDefault="00D35094" w14:paraId="124F40B2" w14:textId="77777777">
      <w:pPr>
        <w:spacing w:after="0" w:line="240" w:lineRule="auto"/>
      </w:pPr>
      <w:r>
        <w:separator/>
      </w:r>
    </w:p>
  </w:footnote>
  <w:footnote w:type="continuationSeparator" w:id="0">
    <w:p w:rsidR="00D35094" w:rsidP="00D35094" w:rsidRDefault="00D35094" w14:paraId="216BC7A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35094" w:rsidRDefault="00D35094" w14:paraId="2B1153C2" w14:textId="26F86894">
    <w:pPr>
      <w:pStyle w:val="Header"/>
    </w:pPr>
    <w:r>
      <w:rPr>
        <w:noProof/>
      </w:rPr>
      <w:drawing>
        <wp:anchor distT="0" distB="0" distL="114300" distR="114300" simplePos="0" relativeHeight="251659264" behindDoc="0" locked="0" layoutInCell="1" allowOverlap="1" wp14:anchorId="22D0B023" wp14:editId="74419565">
          <wp:simplePos x="0" y="0"/>
          <wp:positionH relativeFrom="page">
            <wp:posOffset>492369</wp:posOffset>
          </wp:positionH>
          <wp:positionV relativeFrom="paragraph">
            <wp:posOffset>-161778</wp:posOffset>
          </wp:positionV>
          <wp:extent cx="6707488" cy="431442"/>
          <wp:effectExtent l="0" t="0" r="0" b="698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707488" cy="43144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18"/>
    <w:rsid w:val="002448D6"/>
    <w:rsid w:val="005A0B06"/>
    <w:rsid w:val="00614518"/>
    <w:rsid w:val="0069607A"/>
    <w:rsid w:val="006A3E48"/>
    <w:rsid w:val="00A54D7A"/>
    <w:rsid w:val="00CA4DC9"/>
    <w:rsid w:val="00D35094"/>
    <w:rsid w:val="185A8442"/>
    <w:rsid w:val="515FF2DE"/>
    <w:rsid w:val="6555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1AA5"/>
  <w15:chartTrackingRefBased/>
  <w15:docId w15:val="{28D54844-7726-4251-8AF1-6707E050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4518"/>
    <w:rPr>
      <w:kern w:val="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61451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614518"/>
  </w:style>
  <w:style w:type="character" w:styleId="eop" w:customStyle="1">
    <w:name w:val="eop"/>
    <w:basedOn w:val="DefaultParagraphFont"/>
    <w:rsid w:val="00614518"/>
  </w:style>
  <w:style w:type="character" w:styleId="Hyperlink">
    <w:name w:val="Hyperlink"/>
    <w:basedOn w:val="DefaultParagraphFont"/>
    <w:uiPriority w:val="99"/>
    <w:unhideWhenUsed/>
    <w:rsid w:val="00614518"/>
    <w:rPr>
      <w:color w:val="0563C1" w:themeColor="hyperlink"/>
      <w:u w:val="single"/>
    </w:rPr>
  </w:style>
  <w:style w:type="paragraph" w:styleId="Revision">
    <w:name w:val="Revision"/>
    <w:hidden/>
    <w:uiPriority w:val="99"/>
    <w:semiHidden/>
    <w:rsid w:val="00614518"/>
    <w:pPr>
      <w:spacing w:after="0" w:line="240" w:lineRule="auto"/>
    </w:pPr>
    <w:rPr>
      <w:kern w:val="0"/>
      <w:lang w:val="en-GB"/>
    </w:rPr>
  </w:style>
  <w:style w:type="character" w:styleId="CommentReference">
    <w:name w:val="annotation reference"/>
    <w:basedOn w:val="DefaultParagraphFont"/>
    <w:uiPriority w:val="99"/>
    <w:semiHidden/>
    <w:unhideWhenUsed/>
    <w:rsid w:val="00CA4DC9"/>
    <w:rPr>
      <w:sz w:val="16"/>
      <w:szCs w:val="16"/>
    </w:rPr>
  </w:style>
  <w:style w:type="paragraph" w:styleId="CommentText">
    <w:name w:val="annotation text"/>
    <w:basedOn w:val="Normal"/>
    <w:link w:val="CommentTextChar"/>
    <w:uiPriority w:val="99"/>
    <w:unhideWhenUsed/>
    <w:rsid w:val="00CA4DC9"/>
    <w:pPr>
      <w:spacing w:line="240" w:lineRule="auto"/>
    </w:pPr>
    <w:rPr>
      <w:sz w:val="20"/>
      <w:szCs w:val="20"/>
    </w:rPr>
  </w:style>
  <w:style w:type="character" w:styleId="CommentTextChar" w:customStyle="1">
    <w:name w:val="Comment Text Char"/>
    <w:basedOn w:val="DefaultParagraphFont"/>
    <w:link w:val="CommentText"/>
    <w:uiPriority w:val="99"/>
    <w:rsid w:val="00CA4DC9"/>
    <w:rPr>
      <w:kern w:val="0"/>
      <w:sz w:val="20"/>
      <w:szCs w:val="20"/>
      <w:lang w:val="en-GB"/>
    </w:rPr>
  </w:style>
  <w:style w:type="paragraph" w:styleId="CommentSubject">
    <w:name w:val="annotation subject"/>
    <w:basedOn w:val="CommentText"/>
    <w:next w:val="CommentText"/>
    <w:link w:val="CommentSubjectChar"/>
    <w:uiPriority w:val="99"/>
    <w:semiHidden/>
    <w:unhideWhenUsed/>
    <w:rsid w:val="00CA4DC9"/>
    <w:rPr>
      <w:b/>
      <w:bCs/>
    </w:rPr>
  </w:style>
  <w:style w:type="character" w:styleId="CommentSubjectChar" w:customStyle="1">
    <w:name w:val="Comment Subject Char"/>
    <w:basedOn w:val="CommentTextChar"/>
    <w:link w:val="CommentSubject"/>
    <w:uiPriority w:val="99"/>
    <w:semiHidden/>
    <w:rsid w:val="00CA4DC9"/>
    <w:rPr>
      <w:b/>
      <w:bCs/>
      <w:kern w:val="0"/>
      <w:sz w:val="20"/>
      <w:szCs w:val="20"/>
      <w:lang w:val="en-GB"/>
    </w:rPr>
  </w:style>
  <w:style w:type="paragraph" w:styleId="Header">
    <w:name w:val="header"/>
    <w:basedOn w:val="Normal"/>
    <w:link w:val="HeaderChar"/>
    <w:uiPriority w:val="99"/>
    <w:unhideWhenUsed/>
    <w:rsid w:val="00D35094"/>
    <w:pPr>
      <w:tabs>
        <w:tab w:val="center" w:pos="4680"/>
        <w:tab w:val="right" w:pos="9360"/>
      </w:tabs>
      <w:spacing w:after="0" w:line="240" w:lineRule="auto"/>
    </w:pPr>
  </w:style>
  <w:style w:type="character" w:styleId="HeaderChar" w:customStyle="1">
    <w:name w:val="Header Char"/>
    <w:basedOn w:val="DefaultParagraphFont"/>
    <w:link w:val="Header"/>
    <w:uiPriority w:val="99"/>
    <w:rsid w:val="00D35094"/>
    <w:rPr>
      <w:kern w:val="0"/>
      <w:lang w:val="en-GB"/>
    </w:rPr>
  </w:style>
  <w:style w:type="paragraph" w:styleId="Footer">
    <w:name w:val="footer"/>
    <w:basedOn w:val="Normal"/>
    <w:link w:val="FooterChar"/>
    <w:uiPriority w:val="99"/>
    <w:unhideWhenUsed/>
    <w:rsid w:val="00D35094"/>
    <w:pPr>
      <w:tabs>
        <w:tab w:val="center" w:pos="4680"/>
        <w:tab w:val="right" w:pos="9360"/>
      </w:tabs>
      <w:spacing w:after="0" w:line="240" w:lineRule="auto"/>
    </w:pPr>
  </w:style>
  <w:style w:type="character" w:styleId="FooterChar" w:customStyle="1">
    <w:name w:val="Footer Char"/>
    <w:basedOn w:val="DefaultParagraphFont"/>
    <w:link w:val="Footer"/>
    <w:uiPriority w:val="99"/>
    <w:rsid w:val="00D35094"/>
    <w:rPr>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hart" Target="charts/chart3.xml" Id="rId8" /><Relationship Type="http://schemas.openxmlformats.org/officeDocument/2006/relationships/customXml" Target="../customXml/item1.xml" Id="rId13" /><Relationship Type="http://schemas.openxmlformats.org/officeDocument/2006/relationships/webSettings" Target="webSettings.xml" Id="rId3" /><Relationship Type="http://schemas.openxmlformats.org/officeDocument/2006/relationships/chart" Target="charts/chart2.xml"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hart" Target="charts/chart1.xml" Id="rId6"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footnotes" Target="footnotes.xml" Id="rId4" /><Relationship Type="http://schemas.openxmlformats.org/officeDocument/2006/relationships/hyperlink" Target="https://www.globsec.org/what-we-do/publications/globsec-trends-2023" TargetMode="Externa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Proxima Nova" panose="02000506030000020004" pitchFamily="50" charset="0"/>
                <a:ea typeface="+mn-ea"/>
                <a:cs typeface="+mn-cs"/>
              </a:defRPr>
            </a:pPr>
            <a:r>
              <a:rPr lang="sk-SK" sz="1100"/>
              <a:t>I</a:t>
            </a:r>
            <a:r>
              <a:rPr lang="en-US" sz="1100"/>
              <a:t>magine, that the following weekend, there will be a referendum in your country on its membership in NATO. How would you vote – for your country to stay in NATO or leave NATO?</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Proxima Nova" panose="02000506030000020004" pitchFamily="50" charset="0"/>
              <a:ea typeface="+mn-ea"/>
              <a:cs typeface="+mn-cs"/>
            </a:defRPr>
          </a:pPr>
          <a:endParaRPr lang="en-US"/>
        </a:p>
      </c:txPr>
    </c:title>
    <c:autoTitleDeleted val="0"/>
    <c:plotArea>
      <c:layout/>
      <c:barChart>
        <c:barDir val="col"/>
        <c:grouping val="clustered"/>
        <c:varyColors val="0"/>
        <c:ser>
          <c:idx val="0"/>
          <c:order val="0"/>
          <c:tx>
            <c:strRef>
              <c:f>Sheet1!$B$10</c:f>
              <c:strCache>
                <c:ptCount val="1"/>
                <c:pt idx="0">
                  <c:v>Stay in NATO</c:v>
                </c:pt>
              </c:strCache>
            </c:strRef>
          </c:tx>
          <c:spPr>
            <a:solidFill>
              <a:srgbClr val="003937"/>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Proxima Nova" panose="02000506030000020004" pitchFamily="50"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Sheet1!$C$9:$J$9</c:f>
              <c:strCache>
                <c:ptCount val="8"/>
                <c:pt idx="0">
                  <c:v>Bulgaria</c:v>
                </c:pt>
                <c:pt idx="1">
                  <c:v>Czechia</c:v>
                </c:pt>
                <c:pt idx="2">
                  <c:v>Hungary</c:v>
                </c:pt>
                <c:pt idx="3">
                  <c:v>Latvia</c:v>
                </c:pt>
                <c:pt idx="4">
                  <c:v>Lithuania</c:v>
                </c:pt>
                <c:pt idx="5">
                  <c:v>Poland</c:v>
                </c:pt>
                <c:pt idx="6">
                  <c:v>Romania</c:v>
                </c:pt>
                <c:pt idx="7">
                  <c:v>Slovakia</c:v>
                </c:pt>
              </c:strCache>
            </c:strRef>
          </c:cat>
          <c:val>
            <c:numRef>
              <c:f>Sheet1!$C$10:$J$10</c:f>
              <c:numCache>
                <c:formatCode>0%</c:formatCode>
                <c:ptCount val="8"/>
                <c:pt idx="0">
                  <c:v>0.57799999999999996</c:v>
                </c:pt>
                <c:pt idx="1">
                  <c:v>0.85099999999999998</c:v>
                </c:pt>
                <c:pt idx="2">
                  <c:v>0.88700000000000001</c:v>
                </c:pt>
                <c:pt idx="3">
                  <c:v>0.78799999999999992</c:v>
                </c:pt>
                <c:pt idx="4">
                  <c:v>0.878</c:v>
                </c:pt>
                <c:pt idx="5">
                  <c:v>0.93700000000000006</c:v>
                </c:pt>
                <c:pt idx="6">
                  <c:v>0.88900000000000001</c:v>
                </c:pt>
                <c:pt idx="7">
                  <c:v>0.57999999999999996</c:v>
                </c:pt>
              </c:numCache>
            </c:numRef>
          </c:val>
          <c:extLst>
            <c:ext xmlns:c16="http://schemas.microsoft.com/office/drawing/2014/chart" uri="{C3380CC4-5D6E-409C-BE32-E72D297353CC}">
              <c16:uniqueId val="{00000000-0BA1-432D-824F-CD0C0250F4FB}"/>
            </c:ext>
          </c:extLst>
        </c:ser>
        <c:ser>
          <c:idx val="1"/>
          <c:order val="1"/>
          <c:tx>
            <c:strRef>
              <c:f>Sheet1!$B$11</c:f>
              <c:strCache>
                <c:ptCount val="1"/>
                <c:pt idx="0">
                  <c:v>Leave NATO</c:v>
                </c:pt>
              </c:strCache>
            </c:strRef>
          </c:tx>
          <c:spPr>
            <a:solidFill>
              <a:srgbClr val="9BD3AE"/>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Proxima Nova" panose="02000506030000020004" pitchFamily="50"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Sheet1!$C$9:$J$9</c:f>
              <c:strCache>
                <c:ptCount val="8"/>
                <c:pt idx="0">
                  <c:v>Bulgaria</c:v>
                </c:pt>
                <c:pt idx="1">
                  <c:v>Czechia</c:v>
                </c:pt>
                <c:pt idx="2">
                  <c:v>Hungary</c:v>
                </c:pt>
                <c:pt idx="3">
                  <c:v>Latvia</c:v>
                </c:pt>
                <c:pt idx="4">
                  <c:v>Lithuania</c:v>
                </c:pt>
                <c:pt idx="5">
                  <c:v>Poland</c:v>
                </c:pt>
                <c:pt idx="6">
                  <c:v>Romania</c:v>
                </c:pt>
                <c:pt idx="7">
                  <c:v>Slovakia</c:v>
                </c:pt>
              </c:strCache>
            </c:strRef>
          </c:cat>
          <c:val>
            <c:numRef>
              <c:f>Sheet1!$C$11:$J$11</c:f>
              <c:numCache>
                <c:formatCode>0%</c:formatCode>
                <c:ptCount val="8"/>
                <c:pt idx="0">
                  <c:v>0.312</c:v>
                </c:pt>
                <c:pt idx="1">
                  <c:v>0.11599999999999999</c:v>
                </c:pt>
                <c:pt idx="2">
                  <c:v>6.2E-2</c:v>
                </c:pt>
                <c:pt idx="3">
                  <c:v>0.13600000000000001</c:v>
                </c:pt>
                <c:pt idx="4">
                  <c:v>4.2999999999999997E-2</c:v>
                </c:pt>
                <c:pt idx="5">
                  <c:v>2.2000000000000002E-2</c:v>
                </c:pt>
                <c:pt idx="6">
                  <c:v>0.08</c:v>
                </c:pt>
                <c:pt idx="7">
                  <c:v>0.32500000000000001</c:v>
                </c:pt>
              </c:numCache>
            </c:numRef>
          </c:val>
          <c:extLst>
            <c:ext xmlns:c16="http://schemas.microsoft.com/office/drawing/2014/chart" uri="{C3380CC4-5D6E-409C-BE32-E72D297353CC}">
              <c16:uniqueId val="{00000001-0BA1-432D-824F-CD0C0250F4FB}"/>
            </c:ext>
          </c:extLst>
        </c:ser>
        <c:dLbls>
          <c:dLblPos val="outEnd"/>
          <c:showLegendKey val="0"/>
          <c:showVal val="1"/>
          <c:showCatName val="0"/>
          <c:showSerName val="0"/>
          <c:showPercent val="0"/>
          <c:showBubbleSize val="0"/>
        </c:dLbls>
        <c:gapWidth val="219"/>
        <c:overlap val="-27"/>
        <c:axId val="843238280"/>
        <c:axId val="843244400"/>
      </c:barChart>
      <c:catAx>
        <c:axId val="843238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Proxima Nova" panose="02000506030000020004" pitchFamily="50" charset="0"/>
                <a:ea typeface="+mn-ea"/>
                <a:cs typeface="+mn-cs"/>
              </a:defRPr>
            </a:pPr>
            <a:endParaRPr lang="en-US"/>
          </a:p>
        </c:txPr>
        <c:crossAx val="843244400"/>
        <c:crosses val="autoZero"/>
        <c:auto val="1"/>
        <c:lblAlgn val="ctr"/>
        <c:lblOffset val="100"/>
        <c:noMultiLvlLbl val="0"/>
      </c:catAx>
      <c:valAx>
        <c:axId val="843244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roxima Nova" panose="02000506030000020004" pitchFamily="50" charset="0"/>
                <a:ea typeface="+mn-ea"/>
                <a:cs typeface="+mn-cs"/>
              </a:defRPr>
            </a:pPr>
            <a:endParaRPr lang="en-US"/>
          </a:p>
        </c:txPr>
        <c:crossAx val="843238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Proxima Nova" panose="02000506030000020004" pitchFamily="50"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Proxima Nova" panose="02000506030000020004" pitchFamily="50"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775556901541154E-2"/>
          <c:y val="0.24680251651960591"/>
          <c:w val="0.90172016959418533"/>
          <c:h val="0.6710500006594653"/>
        </c:manualLayout>
      </c:layout>
      <c:barChart>
        <c:barDir val="col"/>
        <c:grouping val="clustered"/>
        <c:varyColors val="0"/>
        <c:ser>
          <c:idx val="0"/>
          <c:order val="0"/>
          <c:tx>
            <c:strRef>
              <c:f>Sheet1!$B$20</c:f>
              <c:strCache>
                <c:ptCount val="1"/>
                <c:pt idx="0">
                  <c:v>By providing military equipment and weapons to Ukraine, our country is helping Ukraine defend itself against Russia. </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Proxima Nova" panose="02000506030000020004" pitchFamily="50"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Sheet1!$C$19:$I$19</c:f>
              <c:strCache>
                <c:ptCount val="7"/>
                <c:pt idx="0">
                  <c:v>Poland</c:v>
                </c:pt>
                <c:pt idx="1">
                  <c:v>Lithuania</c:v>
                </c:pt>
                <c:pt idx="2">
                  <c:v>Czechia</c:v>
                </c:pt>
                <c:pt idx="3">
                  <c:v>Romania</c:v>
                </c:pt>
                <c:pt idx="4">
                  <c:v>Latvia</c:v>
                </c:pt>
                <c:pt idx="5">
                  <c:v>Slovakia</c:v>
                </c:pt>
                <c:pt idx="6">
                  <c:v>Bulgaria</c:v>
                </c:pt>
              </c:strCache>
            </c:strRef>
          </c:cat>
          <c:val>
            <c:numRef>
              <c:f>Sheet1!$C$20:$I$20</c:f>
              <c:numCache>
                <c:formatCode>0%</c:formatCode>
                <c:ptCount val="7"/>
                <c:pt idx="0">
                  <c:v>0.92500000000000004</c:v>
                </c:pt>
                <c:pt idx="1">
                  <c:v>0.84300000000000008</c:v>
                </c:pt>
                <c:pt idx="2">
                  <c:v>0.8</c:v>
                </c:pt>
                <c:pt idx="3">
                  <c:v>0.77900000000000003</c:v>
                </c:pt>
                <c:pt idx="4">
                  <c:v>0.77800000000000002</c:v>
                </c:pt>
                <c:pt idx="5">
                  <c:v>0.57200000000000006</c:v>
                </c:pt>
                <c:pt idx="6">
                  <c:v>0.48899999999999999</c:v>
                </c:pt>
              </c:numCache>
            </c:numRef>
          </c:val>
          <c:extLst>
            <c:ext xmlns:c16="http://schemas.microsoft.com/office/drawing/2014/chart" uri="{C3380CC4-5D6E-409C-BE32-E72D297353CC}">
              <c16:uniqueId val="{00000000-BA34-4C5F-B0DC-057A23067249}"/>
            </c:ext>
          </c:extLst>
        </c:ser>
        <c:ser>
          <c:idx val="1"/>
          <c:order val="1"/>
          <c:tx>
            <c:strRef>
              <c:f>Sheet1!$B$21</c:f>
              <c:strCache>
                <c:ptCount val="1"/>
                <c:pt idx="0">
                  <c:v>By providing military equipment and weapons to Ukraine, our country is provoking Russia and bringing itself closer to the war.</c:v>
                </c:pt>
              </c:strCache>
            </c:strRef>
          </c:tx>
          <c:spPr>
            <a:solidFill>
              <a:schemeClr val="tx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Proxima Nova" panose="02000506030000020004" pitchFamily="50"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Sheet1!$C$19:$I$19</c:f>
              <c:strCache>
                <c:ptCount val="7"/>
                <c:pt idx="0">
                  <c:v>Poland</c:v>
                </c:pt>
                <c:pt idx="1">
                  <c:v>Lithuania</c:v>
                </c:pt>
                <c:pt idx="2">
                  <c:v>Czechia</c:v>
                </c:pt>
                <c:pt idx="3">
                  <c:v>Romania</c:v>
                </c:pt>
                <c:pt idx="4">
                  <c:v>Latvia</c:v>
                </c:pt>
                <c:pt idx="5">
                  <c:v>Slovakia</c:v>
                </c:pt>
                <c:pt idx="6">
                  <c:v>Bulgaria</c:v>
                </c:pt>
              </c:strCache>
            </c:strRef>
          </c:cat>
          <c:val>
            <c:numRef>
              <c:f>Sheet1!$C$21:$I$21</c:f>
              <c:numCache>
                <c:formatCode>0%</c:formatCode>
                <c:ptCount val="7"/>
                <c:pt idx="0">
                  <c:v>0.33899999999999997</c:v>
                </c:pt>
                <c:pt idx="1">
                  <c:v>0.36799999999999999</c:v>
                </c:pt>
                <c:pt idx="2">
                  <c:v>0.377</c:v>
                </c:pt>
                <c:pt idx="3">
                  <c:v>0.59099999999999997</c:v>
                </c:pt>
                <c:pt idx="4">
                  <c:v>0.28799999999999998</c:v>
                </c:pt>
                <c:pt idx="5">
                  <c:v>0.69299999999999995</c:v>
                </c:pt>
                <c:pt idx="6">
                  <c:v>0.59399999999999997</c:v>
                </c:pt>
              </c:numCache>
            </c:numRef>
          </c:val>
          <c:extLst>
            <c:ext xmlns:c16="http://schemas.microsoft.com/office/drawing/2014/chart" uri="{C3380CC4-5D6E-409C-BE32-E72D297353CC}">
              <c16:uniqueId val="{00000001-BA34-4C5F-B0DC-057A23067249}"/>
            </c:ext>
          </c:extLst>
        </c:ser>
        <c:dLbls>
          <c:dLblPos val="outEnd"/>
          <c:showLegendKey val="0"/>
          <c:showVal val="1"/>
          <c:showCatName val="0"/>
          <c:showSerName val="0"/>
          <c:showPercent val="0"/>
          <c:showBubbleSize val="0"/>
        </c:dLbls>
        <c:gapWidth val="219"/>
        <c:overlap val="-27"/>
        <c:axId val="787395312"/>
        <c:axId val="787395672"/>
      </c:barChart>
      <c:catAx>
        <c:axId val="78739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Proxima Nova" panose="02000506030000020004" pitchFamily="50" charset="0"/>
                <a:ea typeface="+mn-ea"/>
                <a:cs typeface="+mn-cs"/>
              </a:defRPr>
            </a:pPr>
            <a:endParaRPr lang="en-US"/>
          </a:p>
        </c:txPr>
        <c:crossAx val="787395672"/>
        <c:crosses val="autoZero"/>
        <c:auto val="1"/>
        <c:lblAlgn val="ctr"/>
        <c:lblOffset val="100"/>
        <c:noMultiLvlLbl val="0"/>
      </c:catAx>
      <c:valAx>
        <c:axId val="787395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roxima Nova" panose="02000506030000020004" pitchFamily="50" charset="0"/>
                <a:ea typeface="+mn-ea"/>
                <a:cs typeface="+mn-cs"/>
              </a:defRPr>
            </a:pPr>
            <a:endParaRPr lang="en-US"/>
          </a:p>
        </c:txPr>
        <c:crossAx val="7873953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Proxima Nova" panose="02000506030000020004" pitchFamily="50"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Proxima Nova" panose="02000506030000020004" pitchFamily="50"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Proxima Nova" panose="02000506030000020004" pitchFamily="50" charset="0"/>
                <a:ea typeface="+mn-ea"/>
                <a:cs typeface="+mn-cs"/>
              </a:defRPr>
            </a:pPr>
            <a:r>
              <a:rPr lang="sk-SK" sz="1200"/>
              <a:t>Those who agree that p</a:t>
            </a:r>
            <a:r>
              <a:rPr lang="en-US" sz="1200"/>
              <a:t>harmaceutical companies hide effective, real treatment for diseases (e.g. COVID-19, cancer) because they are driven by profits.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Proxima Nova" panose="02000506030000020004" pitchFamily="50" charset="0"/>
              <a:ea typeface="+mn-ea"/>
              <a:cs typeface="+mn-cs"/>
            </a:defRPr>
          </a:pPr>
          <a:endParaRPr lang="en-US"/>
        </a:p>
      </c:txPr>
    </c:title>
    <c:autoTitleDeleted val="0"/>
    <c:plotArea>
      <c:layout/>
      <c:barChart>
        <c:barDir val="col"/>
        <c:grouping val="clustered"/>
        <c:varyColors val="0"/>
        <c:ser>
          <c:idx val="0"/>
          <c:order val="0"/>
          <c:spPr>
            <a:solidFill>
              <a:srgbClr val="F5AB9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Proxima Nova" panose="02000506030000020004" pitchFamily="50"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Sheet1!$C$34:$J$34</c:f>
              <c:strCache>
                <c:ptCount val="8"/>
                <c:pt idx="0">
                  <c:v>Bulgaria</c:v>
                </c:pt>
                <c:pt idx="1">
                  <c:v>Czechia</c:v>
                </c:pt>
                <c:pt idx="2">
                  <c:v>Hungary</c:v>
                </c:pt>
                <c:pt idx="3">
                  <c:v>Latvia</c:v>
                </c:pt>
                <c:pt idx="4">
                  <c:v>Lithuania</c:v>
                </c:pt>
                <c:pt idx="5">
                  <c:v>Poland</c:v>
                </c:pt>
                <c:pt idx="6">
                  <c:v>Romania</c:v>
                </c:pt>
                <c:pt idx="7">
                  <c:v>Slovakia</c:v>
                </c:pt>
              </c:strCache>
            </c:strRef>
          </c:cat>
          <c:val>
            <c:numRef>
              <c:f>Sheet1!$C$35:$J$35</c:f>
              <c:numCache>
                <c:formatCode>0%</c:formatCode>
                <c:ptCount val="8"/>
                <c:pt idx="0">
                  <c:v>0.67</c:v>
                </c:pt>
                <c:pt idx="1">
                  <c:v>0.40500000000000003</c:v>
                </c:pt>
                <c:pt idx="2">
                  <c:v>0.58899999999999997</c:v>
                </c:pt>
                <c:pt idx="3">
                  <c:v>0.52200000000000002</c:v>
                </c:pt>
                <c:pt idx="4">
                  <c:v>0.50900000000000001</c:v>
                </c:pt>
                <c:pt idx="5">
                  <c:v>0.59799999999999998</c:v>
                </c:pt>
                <c:pt idx="6">
                  <c:v>0.60899999999999999</c:v>
                </c:pt>
                <c:pt idx="7">
                  <c:v>0.57100000000000006</c:v>
                </c:pt>
              </c:numCache>
            </c:numRef>
          </c:val>
          <c:extLst>
            <c:ext xmlns:c16="http://schemas.microsoft.com/office/drawing/2014/chart" uri="{C3380CC4-5D6E-409C-BE32-E72D297353CC}">
              <c16:uniqueId val="{00000000-96DF-4167-BD36-6AF21A60B663}"/>
            </c:ext>
          </c:extLst>
        </c:ser>
        <c:dLbls>
          <c:dLblPos val="outEnd"/>
          <c:showLegendKey val="0"/>
          <c:showVal val="1"/>
          <c:showCatName val="0"/>
          <c:showSerName val="0"/>
          <c:showPercent val="0"/>
          <c:showBubbleSize val="0"/>
        </c:dLbls>
        <c:gapWidth val="219"/>
        <c:overlap val="-27"/>
        <c:axId val="750504504"/>
        <c:axId val="750504864"/>
      </c:barChart>
      <c:catAx>
        <c:axId val="750504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Proxima Nova" panose="02000506030000020004" pitchFamily="50" charset="0"/>
                <a:ea typeface="+mn-ea"/>
                <a:cs typeface="+mn-cs"/>
              </a:defRPr>
            </a:pPr>
            <a:endParaRPr lang="en-US"/>
          </a:p>
        </c:txPr>
        <c:crossAx val="750504864"/>
        <c:crosses val="autoZero"/>
        <c:auto val="1"/>
        <c:lblAlgn val="ctr"/>
        <c:lblOffset val="100"/>
        <c:noMultiLvlLbl val="0"/>
      </c:catAx>
      <c:valAx>
        <c:axId val="750504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roxima Nova" panose="02000506030000020004" pitchFamily="50" charset="0"/>
                <a:ea typeface="+mn-ea"/>
                <a:cs typeface="+mn-cs"/>
              </a:defRPr>
            </a:pPr>
            <a:endParaRPr lang="en-US"/>
          </a:p>
        </c:txPr>
        <c:crossAx val="7505045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Proxima Nova" panose="02000506030000020004" pitchFamily="50"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BBB2BD626CE144B1B2B5049E36F737" ma:contentTypeVersion="16" ma:contentTypeDescription="Create a new document." ma:contentTypeScope="" ma:versionID="9394150d96304a5846865b2e810b18c2">
  <xsd:schema xmlns:xsd="http://www.w3.org/2001/XMLSchema" xmlns:xs="http://www.w3.org/2001/XMLSchema" xmlns:p="http://schemas.microsoft.com/office/2006/metadata/properties" xmlns:ns2="ec4a6228-929c-4db0-a913-3d90b5187327" xmlns:ns3="cb34854b-aba0-47cd-811e-d0ae03f56d46" targetNamespace="http://schemas.microsoft.com/office/2006/metadata/properties" ma:root="true" ma:fieldsID="68fff35ca8bd1450761222130ead5889" ns2:_="" ns3:_="">
    <xsd:import namespace="ec4a6228-929c-4db0-a913-3d90b5187327"/>
    <xsd:import namespace="cb34854b-aba0-47cd-811e-d0ae03f56d4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a6228-929c-4db0-a913-3d90b5187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de011a-9332-49af-a1ed-da929bb01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34854b-aba0-47cd-811e-d0ae03f56d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b2cbbd-4f89-4e4d-ab4b-7ae512a3e79d}" ma:internalName="TaxCatchAll" ma:showField="CatchAllData" ma:web="cb34854b-aba0-47cd-811e-d0ae03f56d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34854b-aba0-47cd-811e-d0ae03f56d46" xsi:nil="true"/>
    <lcf76f155ced4ddcb4097134ff3c332f xmlns="ec4a6228-929c-4db0-a913-3d90b51873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34E752-692E-4B66-8187-4B9B009248EC}"/>
</file>

<file path=customXml/itemProps2.xml><?xml version="1.0" encoding="utf-8"?>
<ds:datastoreItem xmlns:ds="http://schemas.openxmlformats.org/officeDocument/2006/customXml" ds:itemID="{AE6C1032-7133-4B63-8386-CE4A0B8944EC}"/>
</file>

<file path=customXml/itemProps3.xml><?xml version="1.0" encoding="utf-8"?>
<ds:datastoreItem xmlns:ds="http://schemas.openxmlformats.org/officeDocument/2006/customXml" ds:itemID="{17338AFC-D165-45EE-A1BE-941D3DF2C5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Girard</dc:creator>
  <cp:keywords/>
  <dc:description/>
  <cp:lastModifiedBy>Katarína Klingová</cp:lastModifiedBy>
  <cp:revision>3</cp:revision>
  <dcterms:created xsi:type="dcterms:W3CDTF">2023-05-24T11:27:00Z</dcterms:created>
  <dcterms:modified xsi:type="dcterms:W3CDTF">2023-05-25T15:10:50Z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06b5e38c-2f77-4fc8-9e95-5c188a57aa7e</vt:lpwstr>
  </property>
  <property fmtid="{D5CDD505-2E9C-101B-9397-08002B2CF9AE}" pid="3" name="ContentTypeId">
    <vt:lpwstr>0x010100A0BBB2BD626CE144B1B2B5049E36F737</vt:lpwstr>
  </property>
  <property fmtid="{D5CDD505-2E9C-101B-9397-08002B2CF9AE}" pid="4" name="MediaServiceImageTags">
    <vt:lpwstr/>
  </property>
</Properties>
</file>