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119CA" w14:textId="77777777" w:rsidR="009C2523" w:rsidRPr="00A94304" w:rsidRDefault="009C2523" w:rsidP="009C2523">
      <w:pPr>
        <w:spacing w:line="276" w:lineRule="auto"/>
        <w:jc w:val="center"/>
        <w:rPr>
          <w:rFonts w:ascii="Proxima Nova" w:hAnsi="Proxima Nova"/>
          <w:b/>
          <w:bCs/>
          <w:color w:val="C00000"/>
          <w:sz w:val="28"/>
          <w:szCs w:val="28"/>
          <w:lang w:val="en-GB"/>
        </w:rPr>
      </w:pPr>
      <w:r w:rsidRPr="00A94304">
        <w:rPr>
          <w:rFonts w:ascii="Proxima Nova" w:hAnsi="Proxima Nova"/>
          <w:b/>
          <w:bCs/>
          <w:color w:val="C00000"/>
          <w:sz w:val="28"/>
          <w:szCs w:val="28"/>
          <w:lang w:val="en-GB"/>
        </w:rPr>
        <w:t>GLOBSEC Closed-Door Roundtable Meeting Explores Future of Healthcare in CEE</w:t>
      </w:r>
    </w:p>
    <w:p w14:paraId="53371367" w14:textId="77777777" w:rsidR="009C2523" w:rsidRPr="00A94304" w:rsidRDefault="009C2523" w:rsidP="009C2523">
      <w:pPr>
        <w:pStyle w:val="Normlnywebov"/>
        <w:shd w:val="clear" w:color="auto" w:fill="FFFFFF"/>
        <w:spacing w:before="0" w:beforeAutospacing="0" w:after="0" w:afterAutospacing="0"/>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02F03907" w14:textId="301A51DE" w:rsidR="009C2523" w:rsidRPr="008D0AD9" w:rsidRDefault="009C2523" w:rsidP="00A94304">
      <w:pPr>
        <w:pStyle w:val="Normlnywebov"/>
        <w:shd w:val="clear" w:color="auto" w:fill="FFFFFF"/>
        <w:spacing w:before="0" w:beforeAutospacing="0" w:after="0" w:afterAutospacing="0"/>
        <w:jc w:val="both"/>
        <w:rPr>
          <w:rFonts w:ascii="Proxima Nova" w:hAnsi="Proxima Nova"/>
          <w:b/>
          <w:bCs/>
          <w:color w:val="000000"/>
          <w:sz w:val="22"/>
          <w:szCs w:val="22"/>
        </w:rPr>
      </w:pPr>
      <w:r w:rsidRPr="00A94304">
        <w:rPr>
          <w:rFonts w:ascii="Proxima Nova" w:hAnsi="Proxima Nova"/>
          <w:color w:val="000000"/>
          <w:sz w:val="22"/>
          <w:szCs w:val="22"/>
          <w:bdr w:val="none" w:sz="0" w:space="0" w:color="auto" w:frame="1"/>
          <w:lang w:val="en-GB"/>
        </w:rPr>
        <w:t xml:space="preserve">Brussels, 24 April 2024. </w:t>
      </w:r>
      <w:r w:rsidRPr="00A94304">
        <w:rPr>
          <w:rFonts w:ascii="Proxima Nova" w:hAnsi="Proxima Nova"/>
          <w:b/>
          <w:bCs/>
          <w:color w:val="000000"/>
          <w:sz w:val="22"/>
          <w:szCs w:val="22"/>
          <w:bdr w:val="none" w:sz="0" w:space="0" w:color="auto" w:frame="1"/>
          <w:lang w:val="en-GB"/>
        </w:rPr>
        <w:t>On the sidelines of the informal meeting of health ministers in Brussels, a closed-door roundtable discussion organized by GLOBSEC under the auspices of the Ministry of Health of the Czech Republic convened key stakeholders to debate the Future of Healthcare in Central and Eastern Europe (CEE). Among the attendees were health ministers of Romania and Estonia, along with state secretaries from the Czech Republic and Slovakia</w:t>
      </w:r>
      <w:r w:rsidR="00A64212">
        <w:rPr>
          <w:rFonts w:ascii="Proxima Nova" w:hAnsi="Proxima Nova"/>
          <w:b/>
          <w:bCs/>
          <w:color w:val="000000"/>
          <w:sz w:val="22"/>
          <w:szCs w:val="22"/>
          <w:bdr w:val="none" w:sz="0" w:space="0" w:color="auto" w:frame="1"/>
          <w:lang w:val="en-GB"/>
        </w:rPr>
        <w:t xml:space="preserve"> and permanent representatives from Lithuania, Slovenia, Latvia, Poland and other EU countries</w:t>
      </w:r>
    </w:p>
    <w:p w14:paraId="54C87684"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29778FE8" w14:textId="732A3ED5"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xml:space="preserve">The meeting featured the presentation of two significant healthcare reports: the GLOBSEC Healthcare Readiness Index (HRI), assessing the readiness of EU countries to confront present and future healthcare challenges, and data from an upcoming case study by The Economist Impact, focusing on the </w:t>
      </w:r>
      <w:r w:rsidR="00A64212" w:rsidRPr="00A64212">
        <w:rPr>
          <w:rFonts w:ascii="Proxima Nova" w:hAnsi="Proxima Nova"/>
          <w:color w:val="000000"/>
          <w:sz w:val="22"/>
          <w:szCs w:val="22"/>
          <w:bdr w:val="none" w:sz="0" w:space="0" w:color="auto" w:frame="1"/>
          <w:lang w:val="en-GB"/>
        </w:rPr>
        <w:t>clinical and economic implications of gaps in care and treatment availability for multiple myeloma in CEE</w:t>
      </w:r>
      <w:r w:rsidR="00A64212">
        <w:rPr>
          <w:rFonts w:ascii="Proxima Nova" w:hAnsi="Proxima Nova"/>
          <w:color w:val="000000"/>
          <w:sz w:val="22"/>
          <w:szCs w:val="22"/>
          <w:bdr w:val="none" w:sz="0" w:space="0" w:color="auto" w:frame="1"/>
          <w:lang w:val="en-GB"/>
        </w:rPr>
        <w:t>.</w:t>
      </w:r>
    </w:p>
    <w:p w14:paraId="6AD87B9D"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 </w:t>
      </w:r>
    </w:p>
    <w:p w14:paraId="0E0B290E"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Research conducted by GLOBSEC in the previous year, published in the </w:t>
      </w:r>
      <w:hyperlink r:id="rId8" w:tgtFrame="_blank" w:history="1">
        <w:r w:rsidRPr="008D0AD9">
          <w:rPr>
            <w:rFonts w:ascii="Proxima Nova" w:hAnsi="Proxima Nova"/>
            <w:color w:val="000000"/>
            <w:sz w:val="22"/>
            <w:szCs w:val="22"/>
            <w:bdr w:val="none" w:sz="0" w:space="0" w:color="auto" w:frame="1"/>
            <w:lang w:val="en-GB"/>
          </w:rPr>
          <w:t>HRI report</w:t>
        </w:r>
      </w:hyperlink>
      <w:r w:rsidRPr="00A94304">
        <w:rPr>
          <w:rFonts w:ascii="Proxima Nova" w:hAnsi="Proxima Nova"/>
          <w:color w:val="000000"/>
          <w:sz w:val="22"/>
          <w:szCs w:val="22"/>
          <w:bdr w:val="none" w:sz="0" w:space="0" w:color="auto" w:frame="1"/>
          <w:lang w:val="en-GB"/>
        </w:rPr>
        <w:t>, revealed alarming statistics, indicating that 10 CEE nations accounted for 65% of excess deaths per capita within the EU since the onset of the pandemic in 2020. Furthermore, out of the 10 countries ranking lowest in the EU's healthcare performance during the pandemic, 8 were from the CEE region, with Italy and Greece also experiencing significant challenges.</w:t>
      </w:r>
    </w:p>
    <w:p w14:paraId="5D32AAAB"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 </w:t>
      </w:r>
    </w:p>
    <w:p w14:paraId="7BCA3EE1"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Recognizing the need for a comprehensive assessment beyond the CEE countries, the HRI update extended its scope to include all EU nations, as well as Great Britain and Norway. This expanded perspective aims to provide valuable insights into healthcare infrastructure, management strategies, and resilience across diverse European landscapes.</w:t>
      </w:r>
    </w:p>
    <w:p w14:paraId="18DB38FF"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 </w:t>
      </w:r>
    </w:p>
    <w:p w14:paraId="2D2660D6"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 xml:space="preserve">These insights also served as a starting point for the roundtable debates. Discussion further </w:t>
      </w:r>
      <w:proofErr w:type="spellStart"/>
      <w:r w:rsidRPr="00A94304">
        <w:rPr>
          <w:rFonts w:ascii="Proxima Nova" w:hAnsi="Proxima Nova"/>
          <w:color w:val="000000"/>
          <w:sz w:val="22"/>
          <w:szCs w:val="22"/>
          <w:bdr w:val="none" w:sz="0" w:space="0" w:color="auto" w:frame="1"/>
          <w:lang w:val="en-GB"/>
        </w:rPr>
        <w:t>centered</w:t>
      </w:r>
      <w:proofErr w:type="spellEnd"/>
      <w:r w:rsidRPr="00A94304">
        <w:rPr>
          <w:rFonts w:ascii="Proxima Nova" w:hAnsi="Proxima Nova"/>
          <w:color w:val="000000"/>
          <w:sz w:val="22"/>
          <w:szCs w:val="22"/>
          <w:bdr w:val="none" w:sz="0" w:space="0" w:color="auto" w:frame="1"/>
          <w:lang w:val="en-GB"/>
        </w:rPr>
        <w:t xml:space="preserve"> on the European Union's Beating Cancer Plan and its implementation, with a particular focus on the economic implications of oncology diagnoses. Attendees underscored the importance of assessing the readiness of EU healthcare systems to face these challenges, reaffirming a commitment to collaborative, innovative, and informed policymaking.</w:t>
      </w:r>
    </w:p>
    <w:p w14:paraId="345DAF2F"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bdr w:val="none" w:sz="0" w:space="0" w:color="auto" w:frame="1"/>
          <w:lang w:val="en-GB"/>
        </w:rPr>
      </w:pPr>
      <w:r w:rsidRPr="00A94304">
        <w:rPr>
          <w:rFonts w:ascii="Proxima Nova" w:hAnsi="Proxima Nova"/>
          <w:color w:val="000000"/>
          <w:sz w:val="22"/>
          <w:szCs w:val="22"/>
          <w:bdr w:val="none" w:sz="0" w:space="0" w:color="auto" w:frame="1"/>
          <w:lang w:val="en-GB"/>
        </w:rPr>
        <w:t> </w:t>
      </w:r>
    </w:p>
    <w:p w14:paraId="091675D2"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In particular, attention was drawn to multiple myeloma, once deemed swiftly fatal but now manageable for many due to treatment advancements and comprehensive care. However, despite global progress, a significant care gap persists in the CE&amp;B (Central and Eastern Europe and Baltics) region, where mortality rates surged by 32% from 1990 to 2019.</w:t>
      </w:r>
    </w:p>
    <w:p w14:paraId="3DB2A14D"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08E2E0AA"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xml:space="preserve">Martin </w:t>
      </w:r>
      <w:proofErr w:type="spellStart"/>
      <w:r w:rsidRPr="00A94304">
        <w:rPr>
          <w:rFonts w:ascii="Proxima Nova" w:hAnsi="Proxima Nova"/>
          <w:color w:val="000000"/>
          <w:sz w:val="22"/>
          <w:szCs w:val="22"/>
          <w:bdr w:val="none" w:sz="0" w:space="0" w:color="auto" w:frame="1"/>
          <w:lang w:val="en-GB"/>
        </w:rPr>
        <w:t>Smatana</w:t>
      </w:r>
      <w:proofErr w:type="spellEnd"/>
      <w:r w:rsidRPr="00A94304">
        <w:rPr>
          <w:rFonts w:ascii="Proxima Nova" w:hAnsi="Proxima Nova"/>
          <w:color w:val="000000"/>
          <w:sz w:val="22"/>
          <w:szCs w:val="22"/>
          <w:bdr w:val="none" w:sz="0" w:space="0" w:color="auto" w:frame="1"/>
          <w:lang w:val="en-GB"/>
        </w:rPr>
        <w:t>, GLOBSEC Fellow and author of the GLOBSEC Healthcare Readiness Index 2023, highlighted systemic issues hindering optimal cancer care in the region, including decreased healthcare investments, delayed adoption of diagnostic advancements, and limited access to standard care treatments. “</w:t>
      </w:r>
      <w:r w:rsidRPr="00A94304">
        <w:rPr>
          <w:rFonts w:ascii="Proxima Nova" w:hAnsi="Proxima Nova"/>
          <w:i/>
          <w:iCs/>
          <w:color w:val="000000"/>
          <w:sz w:val="22"/>
          <w:szCs w:val="22"/>
          <w:bdr w:val="none" w:sz="0" w:space="0" w:color="auto" w:frame="1"/>
          <w:lang w:val="en-GB"/>
        </w:rPr>
        <w:t>Effective collaboration among policymakers, healthcare professionals, patients, and pharmaceutical companies is essential to delivering optimal care in the region. By aligning efforts and resources, we can overcome the systemic barriers that hinder progress and ensure that all patients receive the care and support they need to thrive</w:t>
      </w:r>
      <w:r w:rsidRPr="00A94304">
        <w:rPr>
          <w:rFonts w:ascii="Proxima Nova" w:hAnsi="Proxima Nova"/>
          <w:color w:val="000000"/>
          <w:sz w:val="22"/>
          <w:szCs w:val="22"/>
          <w:bdr w:val="none" w:sz="0" w:space="0" w:color="auto" w:frame="1"/>
          <w:lang w:val="en-GB"/>
        </w:rPr>
        <w:t>,” he emphasized.</w:t>
      </w:r>
    </w:p>
    <w:p w14:paraId="02D19D7F"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3E93CC68" w14:textId="00C90F9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In response, a</w:t>
      </w:r>
      <w:r w:rsidR="00A64212">
        <w:rPr>
          <w:rFonts w:ascii="Proxima Nova" w:hAnsi="Proxima Nova"/>
          <w:color w:val="000000"/>
          <w:sz w:val="22"/>
          <w:szCs w:val="22"/>
          <w:bdr w:val="none" w:sz="0" w:space="0" w:color="auto" w:frame="1"/>
          <w:lang w:val="en-GB"/>
        </w:rPr>
        <w:t xml:space="preserve"> set of recommendations</w:t>
      </w:r>
      <w:r w:rsidRPr="00A94304">
        <w:rPr>
          <w:rFonts w:ascii="Proxima Nova" w:hAnsi="Proxima Nova"/>
          <w:color w:val="000000"/>
          <w:sz w:val="22"/>
          <w:szCs w:val="22"/>
          <w:bdr w:val="none" w:sz="0" w:space="0" w:color="auto" w:frame="1"/>
          <w:lang w:val="en-GB"/>
        </w:rPr>
        <w:t xml:space="preserve"> aimed at improving myeloma outcomes in the CE&amp;B region</w:t>
      </w:r>
      <w:r w:rsidR="00A64212">
        <w:rPr>
          <w:rFonts w:ascii="Proxima Nova" w:hAnsi="Proxima Nova"/>
          <w:color w:val="000000"/>
          <w:sz w:val="22"/>
          <w:szCs w:val="22"/>
          <w:bdr w:val="none" w:sz="0" w:space="0" w:color="auto" w:frame="1"/>
          <w:lang w:val="en-GB"/>
        </w:rPr>
        <w:t xml:space="preserve"> had been identified</w:t>
      </w:r>
      <w:r w:rsidRPr="00A94304">
        <w:rPr>
          <w:rFonts w:ascii="Proxima Nova" w:hAnsi="Proxima Nova"/>
          <w:color w:val="000000"/>
          <w:sz w:val="22"/>
          <w:szCs w:val="22"/>
          <w:bdr w:val="none" w:sz="0" w:space="0" w:color="auto" w:frame="1"/>
          <w:lang w:val="en-GB"/>
        </w:rPr>
        <w:t>:</w:t>
      </w:r>
    </w:p>
    <w:p w14:paraId="47157F42"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1EBFF0C7" w14:textId="7470B863" w:rsidR="009C2523" w:rsidRPr="00BC6254" w:rsidRDefault="009C2523" w:rsidP="00A94304">
      <w:pPr>
        <w:pStyle w:val="Normlnywebov"/>
        <w:shd w:val="clear" w:color="auto" w:fill="FFFFFF"/>
        <w:spacing w:before="0" w:beforeAutospacing="0" w:after="0" w:afterAutospacing="0"/>
        <w:jc w:val="both"/>
        <w:rPr>
          <w:rFonts w:ascii="Proxima Nova" w:hAnsi="Proxima Nova"/>
          <w:strike/>
          <w:color w:val="000000"/>
          <w:sz w:val="22"/>
          <w:szCs w:val="22"/>
          <w:lang w:val="en-GB"/>
        </w:rPr>
      </w:pPr>
      <w:r w:rsidRPr="00A94304">
        <w:rPr>
          <w:rFonts w:ascii="Proxima Nova" w:hAnsi="Proxima Nova"/>
          <w:color w:val="000000"/>
          <w:sz w:val="22"/>
          <w:szCs w:val="22"/>
          <w:bdr w:val="none" w:sz="0" w:space="0" w:color="auto" w:frame="1"/>
          <w:lang w:val="en-GB"/>
        </w:rPr>
        <w:t xml:space="preserve">Enhance Healthcare Investment: Increased investment in healthcare infrastructure is crucial for bolstering patient outcomes </w:t>
      </w:r>
    </w:p>
    <w:p w14:paraId="4484C80D"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lastRenderedPageBreak/>
        <w:t> </w:t>
      </w:r>
    </w:p>
    <w:p w14:paraId="34FB78AF"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Increase Access to Innovative Treatments: Revising evaluation criteria to prioritize the value of innovation can facilitate greater access to cutting-edge therapies.</w:t>
      </w:r>
    </w:p>
    <w:p w14:paraId="2E51A2DF"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0CE221ED"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Develop Comprehensive Care Infrastructure: Establishing robust infrastructure that supports multidisciplinary care and comprehensive data collection is imperative for optimizing patient care and resource allocation.</w:t>
      </w:r>
    </w:p>
    <w:p w14:paraId="5A3C3D90"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5412AD8E"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w:t>
      </w:r>
      <w:r w:rsidRPr="00A94304">
        <w:rPr>
          <w:rFonts w:ascii="Proxima Nova" w:hAnsi="Proxima Nova"/>
          <w:i/>
          <w:iCs/>
          <w:color w:val="000000"/>
          <w:sz w:val="22"/>
          <w:szCs w:val="22"/>
          <w:bdr w:val="none" w:sz="0" w:space="0" w:color="auto" w:frame="1"/>
          <w:lang w:val="en-GB"/>
        </w:rPr>
        <w:t>Investing in healthcare is not just a fiscal decision; it's an investment in the vitality and productivity of our people. By prioritizing healthcare as a strategic pillar, governments can cultivate a healthier, more resilient workforce, ultimately enhancing our country's competitiveness on the global stage</w:t>
      </w:r>
      <w:r w:rsidRPr="00A94304">
        <w:rPr>
          <w:rFonts w:ascii="Proxima Nova" w:hAnsi="Proxima Nova"/>
          <w:color w:val="000000"/>
          <w:sz w:val="22"/>
          <w:szCs w:val="22"/>
          <w:bdr w:val="none" w:sz="0" w:space="0" w:color="auto" w:frame="1"/>
          <w:lang w:val="en-GB"/>
        </w:rPr>
        <w:t>," prof. Róbert Babeľa, Health Economist and former State Secretary at Ministry of Health of the Slovak Republic, one of the moderators of the discussion, concluded.</w:t>
      </w:r>
    </w:p>
    <w:p w14:paraId="6B98FE2B" w14:textId="77777777" w:rsidR="009C2523" w:rsidRPr="00A94304" w:rsidRDefault="009C2523" w:rsidP="00A94304">
      <w:pPr>
        <w:pStyle w:val="Normlnywebov"/>
        <w:shd w:val="clear" w:color="auto" w:fill="FFFFFF"/>
        <w:spacing w:before="0" w:beforeAutospacing="0" w:after="0" w:afterAutospacing="0"/>
        <w:jc w:val="both"/>
        <w:rPr>
          <w:rFonts w:ascii="Proxima Nova" w:hAnsi="Proxima Nova"/>
          <w:color w:val="000000"/>
          <w:sz w:val="22"/>
          <w:szCs w:val="22"/>
          <w:lang w:val="en-GB"/>
        </w:rPr>
      </w:pPr>
      <w:r w:rsidRPr="00A94304">
        <w:rPr>
          <w:rFonts w:ascii="Proxima Nova" w:hAnsi="Proxima Nova"/>
          <w:color w:val="000000"/>
          <w:sz w:val="22"/>
          <w:szCs w:val="22"/>
          <w:bdr w:val="none" w:sz="0" w:space="0" w:color="auto" w:frame="1"/>
          <w:lang w:val="en-GB"/>
        </w:rPr>
        <w:t> </w:t>
      </w:r>
    </w:p>
    <w:p w14:paraId="34AC9A2B" w14:textId="77777777" w:rsidR="00CD207F" w:rsidRPr="00A94304" w:rsidRDefault="00CD207F" w:rsidP="00A94304">
      <w:pPr>
        <w:spacing w:line="276" w:lineRule="auto"/>
        <w:jc w:val="both"/>
        <w:rPr>
          <w:rFonts w:ascii="Proxima Nova" w:hAnsi="Proxima Nova" w:cs="Calibri"/>
          <w:sz w:val="22"/>
          <w:szCs w:val="22"/>
          <w:bdr w:val="none" w:sz="0" w:space="0" w:color="auto" w:frame="1"/>
          <w:shd w:val="clear" w:color="auto" w:fill="FFFFFF"/>
          <w:lang w:val="en-GB"/>
        </w:rPr>
      </w:pPr>
    </w:p>
    <w:p w14:paraId="280FB11E" w14:textId="06EAC115" w:rsidR="00CD207F" w:rsidRPr="00A94304" w:rsidRDefault="00CD207F" w:rsidP="00A94304">
      <w:pPr>
        <w:spacing w:line="276" w:lineRule="auto"/>
        <w:jc w:val="both"/>
        <w:rPr>
          <w:rFonts w:ascii="Proxima Nova" w:hAnsi="Proxima Nova"/>
          <w:sz w:val="22"/>
          <w:szCs w:val="22"/>
          <w:lang w:val="en-GB"/>
        </w:rPr>
      </w:pPr>
    </w:p>
    <w:sectPr w:rsidR="00CD207F" w:rsidRPr="00A94304" w:rsidSect="005B433A">
      <w:headerReference w:type="default" r:id="rId9"/>
      <w:footerReference w:type="default" r:id="rId10"/>
      <w:pgSz w:w="11906" w:h="16838"/>
      <w:pgMar w:top="18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87DF" w14:textId="77777777" w:rsidR="005B433A" w:rsidRPr="00F76A61" w:rsidRDefault="005B433A" w:rsidP="000B4989">
      <w:r w:rsidRPr="00F76A61">
        <w:separator/>
      </w:r>
    </w:p>
  </w:endnote>
  <w:endnote w:type="continuationSeparator" w:id="0">
    <w:p w14:paraId="46AC809F" w14:textId="77777777" w:rsidR="005B433A" w:rsidRPr="00F76A61" w:rsidRDefault="005B433A" w:rsidP="000B4989">
      <w:r w:rsidRPr="00F76A6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210380"/>
      <w:docPartObj>
        <w:docPartGallery w:val="Page Numbers (Bottom of Page)"/>
        <w:docPartUnique/>
      </w:docPartObj>
    </w:sdtPr>
    <w:sdtContent>
      <w:p w14:paraId="5D406E5F" w14:textId="345E6D7F" w:rsidR="0052240C" w:rsidRPr="00F76A61" w:rsidRDefault="0052240C">
        <w:pPr>
          <w:pStyle w:val="Pta"/>
          <w:jc w:val="right"/>
        </w:pPr>
        <w:r w:rsidRPr="00F76A61">
          <w:fldChar w:fldCharType="begin"/>
        </w:r>
        <w:r w:rsidRPr="00F76A61">
          <w:instrText xml:space="preserve"> PAGE   \* MERGEFORMAT </w:instrText>
        </w:r>
        <w:r w:rsidRPr="00F76A61">
          <w:fldChar w:fldCharType="separate"/>
        </w:r>
        <w:r w:rsidR="00AC46DC" w:rsidRPr="00F76A61">
          <w:t>1</w:t>
        </w:r>
        <w:r w:rsidRPr="00F76A61">
          <w:fldChar w:fldCharType="end"/>
        </w:r>
      </w:p>
    </w:sdtContent>
  </w:sdt>
  <w:p w14:paraId="4CC22B61" w14:textId="77777777" w:rsidR="00ED1D2D" w:rsidRPr="00F76A61" w:rsidRDefault="00ED1D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B5D34" w14:textId="77777777" w:rsidR="005B433A" w:rsidRPr="00F76A61" w:rsidRDefault="005B433A" w:rsidP="000B4989">
      <w:r w:rsidRPr="00F76A61">
        <w:separator/>
      </w:r>
    </w:p>
  </w:footnote>
  <w:footnote w:type="continuationSeparator" w:id="0">
    <w:p w14:paraId="6BF92820" w14:textId="77777777" w:rsidR="005B433A" w:rsidRPr="00F76A61" w:rsidRDefault="005B433A" w:rsidP="000B4989">
      <w:r w:rsidRPr="00F76A6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1E1B" w14:textId="6496E4C1" w:rsidR="000B4989" w:rsidRPr="00F76A61" w:rsidRDefault="000B4989">
    <w:pPr>
      <w:pStyle w:val="Hlavika"/>
    </w:pPr>
    <w:r w:rsidRPr="00F76A61">
      <w:rPr>
        <w:noProof/>
      </w:rPr>
      <w:drawing>
        <wp:anchor distT="0" distB="0" distL="114300" distR="114300" simplePos="0" relativeHeight="251658240" behindDoc="1" locked="1" layoutInCell="1" allowOverlap="1" wp14:anchorId="38D2B061" wp14:editId="76F5418D">
          <wp:simplePos x="0" y="0"/>
          <wp:positionH relativeFrom="page">
            <wp:align>left</wp:align>
          </wp:positionH>
          <wp:positionV relativeFrom="page">
            <wp:align>top</wp:align>
          </wp:positionV>
          <wp:extent cx="7555865" cy="10688320"/>
          <wp:effectExtent l="0" t="0" r="6985" b="0"/>
          <wp:wrapNone/>
          <wp:docPr id="4" name="Obrázok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5"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page">
            <wp14:pctWidth>0</wp14:pctWidth>
          </wp14:sizeRelH>
          <wp14:sizeRelV relativeFrom="page">
            <wp14:pctHeight>0</wp14:pctHeight>
          </wp14:sizeRelV>
        </wp:anchor>
      </w:drawing>
    </w:r>
    <w:r w:rsidR="00D51601" w:rsidRPr="00F76A61">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715"/>
    <w:multiLevelType w:val="hybridMultilevel"/>
    <w:tmpl w:val="5920AC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84AAB"/>
    <w:multiLevelType w:val="hybridMultilevel"/>
    <w:tmpl w:val="3D3A4C48"/>
    <w:lvl w:ilvl="0" w:tplc="D7FEB47A">
      <w:start w:val="1"/>
      <w:numFmt w:val="lowerLetter"/>
      <w:lvlText w:val="%1)"/>
      <w:lvlJc w:val="left"/>
      <w:pPr>
        <w:ind w:left="1080" w:hanging="360"/>
      </w:pPr>
      <w:rPr>
        <w:rFonts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A1FA4"/>
    <w:multiLevelType w:val="hybridMultilevel"/>
    <w:tmpl w:val="BA6C50AE"/>
    <w:lvl w:ilvl="0" w:tplc="1C9ABD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65334"/>
    <w:multiLevelType w:val="hybridMultilevel"/>
    <w:tmpl w:val="E166B9DA"/>
    <w:lvl w:ilvl="0" w:tplc="E0D02E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903807"/>
    <w:multiLevelType w:val="hybridMultilevel"/>
    <w:tmpl w:val="00EEE92A"/>
    <w:lvl w:ilvl="0" w:tplc="C53C1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C694C"/>
    <w:multiLevelType w:val="hybridMultilevel"/>
    <w:tmpl w:val="E77409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B37E19"/>
    <w:multiLevelType w:val="hybridMultilevel"/>
    <w:tmpl w:val="A166330C"/>
    <w:lvl w:ilvl="0" w:tplc="EC504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DB31C2"/>
    <w:multiLevelType w:val="hybridMultilevel"/>
    <w:tmpl w:val="A3823162"/>
    <w:lvl w:ilvl="0" w:tplc="82821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B66E59"/>
    <w:multiLevelType w:val="hybridMultilevel"/>
    <w:tmpl w:val="33C69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47783"/>
    <w:multiLevelType w:val="hybridMultilevel"/>
    <w:tmpl w:val="3AA405CC"/>
    <w:lvl w:ilvl="0" w:tplc="A15019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FC0803"/>
    <w:multiLevelType w:val="hybridMultilevel"/>
    <w:tmpl w:val="F9DE6E6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85040D0"/>
    <w:multiLevelType w:val="hybridMultilevel"/>
    <w:tmpl w:val="C1E2937E"/>
    <w:lvl w:ilvl="0" w:tplc="04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D1662C9"/>
    <w:multiLevelType w:val="hybridMultilevel"/>
    <w:tmpl w:val="FE246F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040DE0"/>
    <w:multiLevelType w:val="hybridMultilevel"/>
    <w:tmpl w:val="18E445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34CC2440"/>
    <w:multiLevelType w:val="hybridMultilevel"/>
    <w:tmpl w:val="FD7C2184"/>
    <w:lvl w:ilvl="0" w:tplc="F522AD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6F238E"/>
    <w:multiLevelType w:val="hybridMultilevel"/>
    <w:tmpl w:val="89305DF2"/>
    <w:lvl w:ilvl="0" w:tplc="1C6C9D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FB1B7F"/>
    <w:multiLevelType w:val="hybridMultilevel"/>
    <w:tmpl w:val="836C2A60"/>
    <w:lvl w:ilvl="0" w:tplc="DD303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DC7411E"/>
    <w:multiLevelType w:val="hybridMultilevel"/>
    <w:tmpl w:val="D5D04908"/>
    <w:lvl w:ilvl="0" w:tplc="0423000D">
      <w:start w:val="1"/>
      <w:numFmt w:val="bullet"/>
      <w:lvlText w:val=""/>
      <w:lvlJc w:val="left"/>
      <w:pPr>
        <w:ind w:left="774" w:hanging="360"/>
      </w:pPr>
      <w:rPr>
        <w:rFonts w:ascii="Wingdings" w:hAnsi="Wingdings" w:hint="default"/>
      </w:rPr>
    </w:lvl>
    <w:lvl w:ilvl="1" w:tplc="04230003" w:tentative="1">
      <w:start w:val="1"/>
      <w:numFmt w:val="bullet"/>
      <w:lvlText w:val="o"/>
      <w:lvlJc w:val="left"/>
      <w:pPr>
        <w:ind w:left="1494" w:hanging="360"/>
      </w:pPr>
      <w:rPr>
        <w:rFonts w:ascii="Courier New" w:hAnsi="Courier New" w:cs="Courier New" w:hint="default"/>
      </w:rPr>
    </w:lvl>
    <w:lvl w:ilvl="2" w:tplc="04230005" w:tentative="1">
      <w:start w:val="1"/>
      <w:numFmt w:val="bullet"/>
      <w:lvlText w:val=""/>
      <w:lvlJc w:val="left"/>
      <w:pPr>
        <w:ind w:left="2214" w:hanging="360"/>
      </w:pPr>
      <w:rPr>
        <w:rFonts w:ascii="Wingdings" w:hAnsi="Wingdings" w:hint="default"/>
      </w:rPr>
    </w:lvl>
    <w:lvl w:ilvl="3" w:tplc="04230001" w:tentative="1">
      <w:start w:val="1"/>
      <w:numFmt w:val="bullet"/>
      <w:lvlText w:val=""/>
      <w:lvlJc w:val="left"/>
      <w:pPr>
        <w:ind w:left="2934" w:hanging="360"/>
      </w:pPr>
      <w:rPr>
        <w:rFonts w:ascii="Symbol" w:hAnsi="Symbol" w:hint="default"/>
      </w:rPr>
    </w:lvl>
    <w:lvl w:ilvl="4" w:tplc="04230003" w:tentative="1">
      <w:start w:val="1"/>
      <w:numFmt w:val="bullet"/>
      <w:lvlText w:val="o"/>
      <w:lvlJc w:val="left"/>
      <w:pPr>
        <w:ind w:left="3654" w:hanging="360"/>
      </w:pPr>
      <w:rPr>
        <w:rFonts w:ascii="Courier New" w:hAnsi="Courier New" w:cs="Courier New" w:hint="default"/>
      </w:rPr>
    </w:lvl>
    <w:lvl w:ilvl="5" w:tplc="04230005" w:tentative="1">
      <w:start w:val="1"/>
      <w:numFmt w:val="bullet"/>
      <w:lvlText w:val=""/>
      <w:lvlJc w:val="left"/>
      <w:pPr>
        <w:ind w:left="4374" w:hanging="360"/>
      </w:pPr>
      <w:rPr>
        <w:rFonts w:ascii="Wingdings" w:hAnsi="Wingdings" w:hint="default"/>
      </w:rPr>
    </w:lvl>
    <w:lvl w:ilvl="6" w:tplc="04230001" w:tentative="1">
      <w:start w:val="1"/>
      <w:numFmt w:val="bullet"/>
      <w:lvlText w:val=""/>
      <w:lvlJc w:val="left"/>
      <w:pPr>
        <w:ind w:left="5094" w:hanging="360"/>
      </w:pPr>
      <w:rPr>
        <w:rFonts w:ascii="Symbol" w:hAnsi="Symbol" w:hint="default"/>
      </w:rPr>
    </w:lvl>
    <w:lvl w:ilvl="7" w:tplc="04230003" w:tentative="1">
      <w:start w:val="1"/>
      <w:numFmt w:val="bullet"/>
      <w:lvlText w:val="o"/>
      <w:lvlJc w:val="left"/>
      <w:pPr>
        <w:ind w:left="5814" w:hanging="360"/>
      </w:pPr>
      <w:rPr>
        <w:rFonts w:ascii="Courier New" w:hAnsi="Courier New" w:cs="Courier New" w:hint="default"/>
      </w:rPr>
    </w:lvl>
    <w:lvl w:ilvl="8" w:tplc="04230005" w:tentative="1">
      <w:start w:val="1"/>
      <w:numFmt w:val="bullet"/>
      <w:lvlText w:val=""/>
      <w:lvlJc w:val="left"/>
      <w:pPr>
        <w:ind w:left="6534" w:hanging="360"/>
      </w:pPr>
      <w:rPr>
        <w:rFonts w:ascii="Wingdings" w:hAnsi="Wingdings" w:hint="default"/>
      </w:rPr>
    </w:lvl>
  </w:abstractNum>
  <w:abstractNum w:abstractNumId="18" w15:restartNumberingAfterBreak="0">
    <w:nsid w:val="3F1E171F"/>
    <w:multiLevelType w:val="hybridMultilevel"/>
    <w:tmpl w:val="5A2CE17A"/>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9" w15:restartNumberingAfterBreak="0">
    <w:nsid w:val="43DB74FC"/>
    <w:multiLevelType w:val="hybridMultilevel"/>
    <w:tmpl w:val="B3F41652"/>
    <w:lvl w:ilvl="0" w:tplc="8A961A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FD1A93"/>
    <w:multiLevelType w:val="hybridMultilevel"/>
    <w:tmpl w:val="A5D42CB2"/>
    <w:lvl w:ilvl="0" w:tplc="ACF48D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D16A6"/>
    <w:multiLevelType w:val="hybridMultilevel"/>
    <w:tmpl w:val="D23E3904"/>
    <w:lvl w:ilvl="0" w:tplc="E8D61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A526BFF"/>
    <w:multiLevelType w:val="hybridMultilevel"/>
    <w:tmpl w:val="F1F4A626"/>
    <w:lvl w:ilvl="0" w:tplc="0B284C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B6D60D7"/>
    <w:multiLevelType w:val="hybridMultilevel"/>
    <w:tmpl w:val="EA6A9D7C"/>
    <w:lvl w:ilvl="0" w:tplc="A3BA9E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CE5804"/>
    <w:multiLevelType w:val="hybridMultilevel"/>
    <w:tmpl w:val="D392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3231A"/>
    <w:multiLevelType w:val="hybridMultilevel"/>
    <w:tmpl w:val="4E2C7248"/>
    <w:lvl w:ilvl="0" w:tplc="EF6EFF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7CA230B"/>
    <w:multiLevelType w:val="hybridMultilevel"/>
    <w:tmpl w:val="2716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33A17"/>
    <w:multiLevelType w:val="hybridMultilevel"/>
    <w:tmpl w:val="50842956"/>
    <w:lvl w:ilvl="0" w:tplc="B68E18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56AA0"/>
    <w:multiLevelType w:val="hybridMultilevel"/>
    <w:tmpl w:val="A8BCB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14D5C"/>
    <w:multiLevelType w:val="hybridMultilevel"/>
    <w:tmpl w:val="F258A12C"/>
    <w:lvl w:ilvl="0" w:tplc="C002A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E7716B"/>
    <w:multiLevelType w:val="hybridMultilevel"/>
    <w:tmpl w:val="965A89A6"/>
    <w:lvl w:ilvl="0" w:tplc="DCE03F88">
      <w:start w:val="1"/>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F24D5"/>
    <w:multiLevelType w:val="hybridMultilevel"/>
    <w:tmpl w:val="94948668"/>
    <w:lvl w:ilvl="0" w:tplc="BDDE9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4D1344A"/>
    <w:multiLevelType w:val="hybridMultilevel"/>
    <w:tmpl w:val="466CF5AA"/>
    <w:lvl w:ilvl="0" w:tplc="D3B42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B25C75"/>
    <w:multiLevelType w:val="hybridMultilevel"/>
    <w:tmpl w:val="D79AF0A8"/>
    <w:lvl w:ilvl="0" w:tplc="DCE03F88">
      <w:start w:val="1"/>
      <w:numFmt w:val="bullet"/>
      <w:lvlText w:val=""/>
      <w:lvlJc w:val="left"/>
      <w:pPr>
        <w:ind w:left="1440" w:hanging="720"/>
      </w:pPr>
      <w:rPr>
        <w:rFonts w:ascii="Symbol" w:eastAsiaTheme="minorHAnsi" w:hAnsi="Symbol" w:cstheme="minorBid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7AE87726"/>
    <w:multiLevelType w:val="hybridMultilevel"/>
    <w:tmpl w:val="2544F7E6"/>
    <w:lvl w:ilvl="0" w:tplc="66A2F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950EEC"/>
    <w:multiLevelType w:val="hybridMultilevel"/>
    <w:tmpl w:val="89AC1E42"/>
    <w:lvl w:ilvl="0" w:tplc="DEA289BC">
      <w:start w:val="1"/>
      <w:numFmt w:val="bullet"/>
      <w:lvlText w:val="-"/>
      <w:lvlJc w:val="left"/>
      <w:pPr>
        <w:ind w:left="720" w:hanging="360"/>
      </w:pPr>
      <w:rPr>
        <w:rFonts w:ascii="Proxima Nova" w:eastAsiaTheme="minorHAnsi" w:hAnsi="Proxima Nov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22441B"/>
    <w:multiLevelType w:val="hybridMultilevel"/>
    <w:tmpl w:val="C9882098"/>
    <w:lvl w:ilvl="0" w:tplc="E036F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5821505">
    <w:abstractNumId w:val="24"/>
  </w:num>
  <w:num w:numId="2" w16cid:durableId="1741707425">
    <w:abstractNumId w:val="12"/>
  </w:num>
  <w:num w:numId="3" w16cid:durableId="886189350">
    <w:abstractNumId w:val="6"/>
  </w:num>
  <w:num w:numId="4" w16cid:durableId="1807892591">
    <w:abstractNumId w:val="23"/>
  </w:num>
  <w:num w:numId="5" w16cid:durableId="1334382645">
    <w:abstractNumId w:val="21"/>
  </w:num>
  <w:num w:numId="6" w16cid:durableId="1625035015">
    <w:abstractNumId w:val="16"/>
  </w:num>
  <w:num w:numId="7" w16cid:durableId="1381445035">
    <w:abstractNumId w:val="22"/>
  </w:num>
  <w:num w:numId="8" w16cid:durableId="219219474">
    <w:abstractNumId w:val="15"/>
  </w:num>
  <w:num w:numId="9" w16cid:durableId="1143352854">
    <w:abstractNumId w:val="36"/>
  </w:num>
  <w:num w:numId="10" w16cid:durableId="1673559975">
    <w:abstractNumId w:val="9"/>
  </w:num>
  <w:num w:numId="11" w16cid:durableId="1341665630">
    <w:abstractNumId w:val="34"/>
  </w:num>
  <w:num w:numId="12" w16cid:durableId="103816386">
    <w:abstractNumId w:val="7"/>
  </w:num>
  <w:num w:numId="13" w16cid:durableId="126092021">
    <w:abstractNumId w:val="5"/>
  </w:num>
  <w:num w:numId="14" w16cid:durableId="1614287981">
    <w:abstractNumId w:val="26"/>
  </w:num>
  <w:num w:numId="15" w16cid:durableId="2063749215">
    <w:abstractNumId w:val="8"/>
  </w:num>
  <w:num w:numId="16" w16cid:durableId="77336974">
    <w:abstractNumId w:val="30"/>
  </w:num>
  <w:num w:numId="17" w16cid:durableId="781924558">
    <w:abstractNumId w:val="33"/>
  </w:num>
  <w:num w:numId="18" w16cid:durableId="1706176339">
    <w:abstractNumId w:val="17"/>
  </w:num>
  <w:num w:numId="19" w16cid:durableId="2040935673">
    <w:abstractNumId w:val="11"/>
  </w:num>
  <w:num w:numId="20" w16cid:durableId="1686906477">
    <w:abstractNumId w:val="32"/>
  </w:num>
  <w:num w:numId="21" w16cid:durableId="1761832823">
    <w:abstractNumId w:val="27"/>
  </w:num>
  <w:num w:numId="22" w16cid:durableId="1378624041">
    <w:abstractNumId w:val="20"/>
  </w:num>
  <w:num w:numId="23" w16cid:durableId="1615214962">
    <w:abstractNumId w:val="1"/>
  </w:num>
  <w:num w:numId="24" w16cid:durableId="1945727896">
    <w:abstractNumId w:val="2"/>
  </w:num>
  <w:num w:numId="25" w16cid:durableId="2007005251">
    <w:abstractNumId w:val="4"/>
  </w:num>
  <w:num w:numId="26" w16cid:durableId="791825590">
    <w:abstractNumId w:val="14"/>
  </w:num>
  <w:num w:numId="27" w16cid:durableId="2092701450">
    <w:abstractNumId w:val="31"/>
  </w:num>
  <w:num w:numId="28" w16cid:durableId="2136827867">
    <w:abstractNumId w:val="3"/>
  </w:num>
  <w:num w:numId="29" w16cid:durableId="1483813630">
    <w:abstractNumId w:val="19"/>
  </w:num>
  <w:num w:numId="30" w16cid:durableId="62334215">
    <w:abstractNumId w:val="25"/>
  </w:num>
  <w:num w:numId="31" w16cid:durableId="1681157558">
    <w:abstractNumId w:val="10"/>
  </w:num>
  <w:num w:numId="32" w16cid:durableId="995493871">
    <w:abstractNumId w:val="18"/>
  </w:num>
  <w:num w:numId="33" w16cid:durableId="833304263">
    <w:abstractNumId w:val="13"/>
  </w:num>
  <w:num w:numId="34" w16cid:durableId="1669407647">
    <w:abstractNumId w:val="35"/>
  </w:num>
  <w:num w:numId="35" w16cid:durableId="246504973">
    <w:abstractNumId w:val="29"/>
  </w:num>
  <w:num w:numId="36" w16cid:durableId="1826311329">
    <w:abstractNumId w:val="0"/>
  </w:num>
  <w:num w:numId="37" w16cid:durableId="61598981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sDS2NDcwMjE0NDJT0lEKTi0uzszPAykwqgUAsnVAWCwAAAA="/>
  </w:docVars>
  <w:rsids>
    <w:rsidRoot w:val="00A0022E"/>
    <w:rsid w:val="00000860"/>
    <w:rsid w:val="000132D7"/>
    <w:rsid w:val="00014F32"/>
    <w:rsid w:val="000228C9"/>
    <w:rsid w:val="0003345C"/>
    <w:rsid w:val="00033E08"/>
    <w:rsid w:val="0003743F"/>
    <w:rsid w:val="00041FF7"/>
    <w:rsid w:val="000433F1"/>
    <w:rsid w:val="00047AED"/>
    <w:rsid w:val="000523A3"/>
    <w:rsid w:val="000534F7"/>
    <w:rsid w:val="00061213"/>
    <w:rsid w:val="00062C9C"/>
    <w:rsid w:val="000655CC"/>
    <w:rsid w:val="00067122"/>
    <w:rsid w:val="00071808"/>
    <w:rsid w:val="00073475"/>
    <w:rsid w:val="0008169A"/>
    <w:rsid w:val="00085335"/>
    <w:rsid w:val="000933FF"/>
    <w:rsid w:val="000975F0"/>
    <w:rsid w:val="000A31BF"/>
    <w:rsid w:val="000A5CA7"/>
    <w:rsid w:val="000A7D51"/>
    <w:rsid w:val="000B32E5"/>
    <w:rsid w:val="000B347C"/>
    <w:rsid w:val="000B4989"/>
    <w:rsid w:val="000B5817"/>
    <w:rsid w:val="000B5ADD"/>
    <w:rsid w:val="000B6AF6"/>
    <w:rsid w:val="000E1B62"/>
    <w:rsid w:val="000E2C5D"/>
    <w:rsid w:val="000E57BD"/>
    <w:rsid w:val="000E7D33"/>
    <w:rsid w:val="000F5FA4"/>
    <w:rsid w:val="00101770"/>
    <w:rsid w:val="001146EC"/>
    <w:rsid w:val="00120833"/>
    <w:rsid w:val="00123086"/>
    <w:rsid w:val="001258C3"/>
    <w:rsid w:val="001332C1"/>
    <w:rsid w:val="001356AB"/>
    <w:rsid w:val="001356B4"/>
    <w:rsid w:val="00136B9E"/>
    <w:rsid w:val="00141599"/>
    <w:rsid w:val="00141AC4"/>
    <w:rsid w:val="001427BF"/>
    <w:rsid w:val="00142E6A"/>
    <w:rsid w:val="0014387C"/>
    <w:rsid w:val="00145EB6"/>
    <w:rsid w:val="00150518"/>
    <w:rsid w:val="00150B04"/>
    <w:rsid w:val="00151132"/>
    <w:rsid w:val="00154442"/>
    <w:rsid w:val="00157BDA"/>
    <w:rsid w:val="00160360"/>
    <w:rsid w:val="00162972"/>
    <w:rsid w:val="00163536"/>
    <w:rsid w:val="001643A2"/>
    <w:rsid w:val="001644E5"/>
    <w:rsid w:val="00172E94"/>
    <w:rsid w:val="00173296"/>
    <w:rsid w:val="001803DA"/>
    <w:rsid w:val="00193254"/>
    <w:rsid w:val="00196C53"/>
    <w:rsid w:val="001A0518"/>
    <w:rsid w:val="001B0053"/>
    <w:rsid w:val="001B622A"/>
    <w:rsid w:val="001B6DE2"/>
    <w:rsid w:val="001C04A4"/>
    <w:rsid w:val="001C0E43"/>
    <w:rsid w:val="001C6AFA"/>
    <w:rsid w:val="001C730C"/>
    <w:rsid w:val="001C7568"/>
    <w:rsid w:val="001D7A85"/>
    <w:rsid w:val="001E1C86"/>
    <w:rsid w:val="001E26C7"/>
    <w:rsid w:val="001E48D9"/>
    <w:rsid w:val="001E78E6"/>
    <w:rsid w:val="001F5A34"/>
    <w:rsid w:val="0020171D"/>
    <w:rsid w:val="00214B4A"/>
    <w:rsid w:val="00221B49"/>
    <w:rsid w:val="00221FC7"/>
    <w:rsid w:val="00222C6E"/>
    <w:rsid w:val="00230ADC"/>
    <w:rsid w:val="0023189E"/>
    <w:rsid w:val="00233E9D"/>
    <w:rsid w:val="002413F5"/>
    <w:rsid w:val="00243D60"/>
    <w:rsid w:val="00245EFB"/>
    <w:rsid w:val="00250595"/>
    <w:rsid w:val="00261F05"/>
    <w:rsid w:val="00262302"/>
    <w:rsid w:val="00263136"/>
    <w:rsid w:val="00273663"/>
    <w:rsid w:val="00286D48"/>
    <w:rsid w:val="0029605C"/>
    <w:rsid w:val="002B0AE2"/>
    <w:rsid w:val="002B1A65"/>
    <w:rsid w:val="002B2E57"/>
    <w:rsid w:val="002B33A1"/>
    <w:rsid w:val="002C1673"/>
    <w:rsid w:val="002C3E00"/>
    <w:rsid w:val="002C5933"/>
    <w:rsid w:val="002D3F30"/>
    <w:rsid w:val="002D6105"/>
    <w:rsid w:val="002D798D"/>
    <w:rsid w:val="002E21C4"/>
    <w:rsid w:val="002E33D5"/>
    <w:rsid w:val="002E3DA2"/>
    <w:rsid w:val="002E44FF"/>
    <w:rsid w:val="002E458C"/>
    <w:rsid w:val="002F0174"/>
    <w:rsid w:val="002F29F5"/>
    <w:rsid w:val="002F7AC0"/>
    <w:rsid w:val="0030019F"/>
    <w:rsid w:val="0030033E"/>
    <w:rsid w:val="00303969"/>
    <w:rsid w:val="00312383"/>
    <w:rsid w:val="0031692D"/>
    <w:rsid w:val="00316E79"/>
    <w:rsid w:val="0032017C"/>
    <w:rsid w:val="00323929"/>
    <w:rsid w:val="00332376"/>
    <w:rsid w:val="0033251D"/>
    <w:rsid w:val="00335985"/>
    <w:rsid w:val="00336B42"/>
    <w:rsid w:val="003409E7"/>
    <w:rsid w:val="00344290"/>
    <w:rsid w:val="00344861"/>
    <w:rsid w:val="00347A89"/>
    <w:rsid w:val="00352485"/>
    <w:rsid w:val="0035284B"/>
    <w:rsid w:val="00357DEA"/>
    <w:rsid w:val="00360EE7"/>
    <w:rsid w:val="003709CE"/>
    <w:rsid w:val="003904B9"/>
    <w:rsid w:val="00395A24"/>
    <w:rsid w:val="00397C7F"/>
    <w:rsid w:val="003A1C03"/>
    <w:rsid w:val="003A6EEC"/>
    <w:rsid w:val="003A7A6F"/>
    <w:rsid w:val="003B0BA5"/>
    <w:rsid w:val="003B17CE"/>
    <w:rsid w:val="003B358B"/>
    <w:rsid w:val="003C025C"/>
    <w:rsid w:val="003C249E"/>
    <w:rsid w:val="003C44F4"/>
    <w:rsid w:val="003C457B"/>
    <w:rsid w:val="003C4999"/>
    <w:rsid w:val="003C6858"/>
    <w:rsid w:val="003C7A20"/>
    <w:rsid w:val="003C7CBC"/>
    <w:rsid w:val="003D26AA"/>
    <w:rsid w:val="003D58D9"/>
    <w:rsid w:val="003E068A"/>
    <w:rsid w:val="003E08F5"/>
    <w:rsid w:val="003E1413"/>
    <w:rsid w:val="003E42F4"/>
    <w:rsid w:val="003E497F"/>
    <w:rsid w:val="003E7BCD"/>
    <w:rsid w:val="003F04A8"/>
    <w:rsid w:val="003F1850"/>
    <w:rsid w:val="003F3AE2"/>
    <w:rsid w:val="00413D19"/>
    <w:rsid w:val="00415489"/>
    <w:rsid w:val="004235C8"/>
    <w:rsid w:val="0042470E"/>
    <w:rsid w:val="00426BEE"/>
    <w:rsid w:val="00432831"/>
    <w:rsid w:val="0043510B"/>
    <w:rsid w:val="00435626"/>
    <w:rsid w:val="00435D87"/>
    <w:rsid w:val="00436FF8"/>
    <w:rsid w:val="00441E8D"/>
    <w:rsid w:val="00451BCD"/>
    <w:rsid w:val="004528D3"/>
    <w:rsid w:val="00454C9E"/>
    <w:rsid w:val="0046047C"/>
    <w:rsid w:val="00461AE6"/>
    <w:rsid w:val="004634C9"/>
    <w:rsid w:val="00463B24"/>
    <w:rsid w:val="004668FE"/>
    <w:rsid w:val="004855AF"/>
    <w:rsid w:val="00486EA3"/>
    <w:rsid w:val="004910AE"/>
    <w:rsid w:val="004931DC"/>
    <w:rsid w:val="00493D6F"/>
    <w:rsid w:val="00493D7F"/>
    <w:rsid w:val="0049611B"/>
    <w:rsid w:val="00496BFC"/>
    <w:rsid w:val="004C289A"/>
    <w:rsid w:val="004C4F20"/>
    <w:rsid w:val="004C5856"/>
    <w:rsid w:val="004D1E2F"/>
    <w:rsid w:val="004E24A4"/>
    <w:rsid w:val="004E5D86"/>
    <w:rsid w:val="004E69FB"/>
    <w:rsid w:val="00500777"/>
    <w:rsid w:val="00500AF8"/>
    <w:rsid w:val="00501F80"/>
    <w:rsid w:val="0050454F"/>
    <w:rsid w:val="005045AE"/>
    <w:rsid w:val="0050509E"/>
    <w:rsid w:val="00505A56"/>
    <w:rsid w:val="00511FCA"/>
    <w:rsid w:val="00513504"/>
    <w:rsid w:val="0052240C"/>
    <w:rsid w:val="00524A5B"/>
    <w:rsid w:val="005252E7"/>
    <w:rsid w:val="00525B2F"/>
    <w:rsid w:val="00526CCD"/>
    <w:rsid w:val="00526D2C"/>
    <w:rsid w:val="00530B9C"/>
    <w:rsid w:val="0053382B"/>
    <w:rsid w:val="00533948"/>
    <w:rsid w:val="00541D08"/>
    <w:rsid w:val="00542B70"/>
    <w:rsid w:val="00552560"/>
    <w:rsid w:val="00560255"/>
    <w:rsid w:val="0056038C"/>
    <w:rsid w:val="005860FF"/>
    <w:rsid w:val="00586C3F"/>
    <w:rsid w:val="00587EA4"/>
    <w:rsid w:val="00594A37"/>
    <w:rsid w:val="005A201D"/>
    <w:rsid w:val="005A38BD"/>
    <w:rsid w:val="005A7CEF"/>
    <w:rsid w:val="005B433A"/>
    <w:rsid w:val="005B4ECC"/>
    <w:rsid w:val="005B7986"/>
    <w:rsid w:val="005C6E5F"/>
    <w:rsid w:val="005D5723"/>
    <w:rsid w:val="005D58AB"/>
    <w:rsid w:val="005D7737"/>
    <w:rsid w:val="005E519A"/>
    <w:rsid w:val="005E6BBA"/>
    <w:rsid w:val="005F161F"/>
    <w:rsid w:val="005F5E64"/>
    <w:rsid w:val="005F7383"/>
    <w:rsid w:val="006000F0"/>
    <w:rsid w:val="00601FAF"/>
    <w:rsid w:val="00603634"/>
    <w:rsid w:val="00610229"/>
    <w:rsid w:val="00611229"/>
    <w:rsid w:val="00611B8E"/>
    <w:rsid w:val="006125DC"/>
    <w:rsid w:val="00621937"/>
    <w:rsid w:val="00621E2E"/>
    <w:rsid w:val="0062239C"/>
    <w:rsid w:val="00623B67"/>
    <w:rsid w:val="00623EAF"/>
    <w:rsid w:val="0062440B"/>
    <w:rsid w:val="00626A35"/>
    <w:rsid w:val="0062748B"/>
    <w:rsid w:val="00630E6D"/>
    <w:rsid w:val="00633756"/>
    <w:rsid w:val="00637DED"/>
    <w:rsid w:val="00652967"/>
    <w:rsid w:val="0065397D"/>
    <w:rsid w:val="00654AAF"/>
    <w:rsid w:val="00656495"/>
    <w:rsid w:val="006654F3"/>
    <w:rsid w:val="00671298"/>
    <w:rsid w:val="00673B17"/>
    <w:rsid w:val="006754C6"/>
    <w:rsid w:val="00681750"/>
    <w:rsid w:val="00684EB9"/>
    <w:rsid w:val="0068577D"/>
    <w:rsid w:val="00693079"/>
    <w:rsid w:val="00694FA3"/>
    <w:rsid w:val="006976B0"/>
    <w:rsid w:val="00697B7E"/>
    <w:rsid w:val="006A0FDC"/>
    <w:rsid w:val="006A1D28"/>
    <w:rsid w:val="006A5286"/>
    <w:rsid w:val="006A6CB5"/>
    <w:rsid w:val="006B10E7"/>
    <w:rsid w:val="006B1A5C"/>
    <w:rsid w:val="006C20C0"/>
    <w:rsid w:val="006C546D"/>
    <w:rsid w:val="006C6873"/>
    <w:rsid w:val="006D51EA"/>
    <w:rsid w:val="006F562B"/>
    <w:rsid w:val="00700635"/>
    <w:rsid w:val="00700922"/>
    <w:rsid w:val="007030B4"/>
    <w:rsid w:val="007109A8"/>
    <w:rsid w:val="00714215"/>
    <w:rsid w:val="00720E26"/>
    <w:rsid w:val="00720F85"/>
    <w:rsid w:val="00721279"/>
    <w:rsid w:val="00721F3D"/>
    <w:rsid w:val="007223BD"/>
    <w:rsid w:val="007246D9"/>
    <w:rsid w:val="00727725"/>
    <w:rsid w:val="00730AA4"/>
    <w:rsid w:val="00732211"/>
    <w:rsid w:val="007334D3"/>
    <w:rsid w:val="00740A2B"/>
    <w:rsid w:val="00741653"/>
    <w:rsid w:val="00742F97"/>
    <w:rsid w:val="007603AB"/>
    <w:rsid w:val="007709E1"/>
    <w:rsid w:val="007807CC"/>
    <w:rsid w:val="00781546"/>
    <w:rsid w:val="00786D2F"/>
    <w:rsid w:val="00790007"/>
    <w:rsid w:val="00793A01"/>
    <w:rsid w:val="00796F60"/>
    <w:rsid w:val="00797FF7"/>
    <w:rsid w:val="007A026C"/>
    <w:rsid w:val="007A2BCF"/>
    <w:rsid w:val="007A31F2"/>
    <w:rsid w:val="007B0DCC"/>
    <w:rsid w:val="007C1744"/>
    <w:rsid w:val="007D093E"/>
    <w:rsid w:val="007D37CF"/>
    <w:rsid w:val="007D5225"/>
    <w:rsid w:val="007E29A0"/>
    <w:rsid w:val="007F45D8"/>
    <w:rsid w:val="007F7D13"/>
    <w:rsid w:val="00801080"/>
    <w:rsid w:val="00813DFD"/>
    <w:rsid w:val="008162C4"/>
    <w:rsid w:val="00821E85"/>
    <w:rsid w:val="008230C0"/>
    <w:rsid w:val="00823D84"/>
    <w:rsid w:val="008264A4"/>
    <w:rsid w:val="00856E98"/>
    <w:rsid w:val="008600B7"/>
    <w:rsid w:val="00861309"/>
    <w:rsid w:val="00861A60"/>
    <w:rsid w:val="008643E7"/>
    <w:rsid w:val="00872180"/>
    <w:rsid w:val="00880CD0"/>
    <w:rsid w:val="0088175E"/>
    <w:rsid w:val="00882D4C"/>
    <w:rsid w:val="00885993"/>
    <w:rsid w:val="0088669B"/>
    <w:rsid w:val="008867FF"/>
    <w:rsid w:val="0089424B"/>
    <w:rsid w:val="00896703"/>
    <w:rsid w:val="008A22DC"/>
    <w:rsid w:val="008A4B03"/>
    <w:rsid w:val="008A5802"/>
    <w:rsid w:val="008A7EA0"/>
    <w:rsid w:val="008B11D2"/>
    <w:rsid w:val="008B3C5C"/>
    <w:rsid w:val="008B5627"/>
    <w:rsid w:val="008C2C47"/>
    <w:rsid w:val="008C2D22"/>
    <w:rsid w:val="008C496D"/>
    <w:rsid w:val="008C7507"/>
    <w:rsid w:val="008D0AD9"/>
    <w:rsid w:val="008D0C21"/>
    <w:rsid w:val="008D22B1"/>
    <w:rsid w:val="008D7E5D"/>
    <w:rsid w:val="008E50AF"/>
    <w:rsid w:val="008F578D"/>
    <w:rsid w:val="008F7066"/>
    <w:rsid w:val="00903F2B"/>
    <w:rsid w:val="00904BD5"/>
    <w:rsid w:val="009149C4"/>
    <w:rsid w:val="00914B73"/>
    <w:rsid w:val="00920152"/>
    <w:rsid w:val="00922D29"/>
    <w:rsid w:val="009241BE"/>
    <w:rsid w:val="00940258"/>
    <w:rsid w:val="0094028F"/>
    <w:rsid w:val="00942948"/>
    <w:rsid w:val="00942A64"/>
    <w:rsid w:val="00943E30"/>
    <w:rsid w:val="0094453E"/>
    <w:rsid w:val="00944A09"/>
    <w:rsid w:val="0094664F"/>
    <w:rsid w:val="00953D8F"/>
    <w:rsid w:val="00954FBB"/>
    <w:rsid w:val="00955C39"/>
    <w:rsid w:val="00956E0B"/>
    <w:rsid w:val="0096146D"/>
    <w:rsid w:val="00962C82"/>
    <w:rsid w:val="00965584"/>
    <w:rsid w:val="00975851"/>
    <w:rsid w:val="00977EEC"/>
    <w:rsid w:val="009907AA"/>
    <w:rsid w:val="0099411B"/>
    <w:rsid w:val="009A0FA0"/>
    <w:rsid w:val="009A13B4"/>
    <w:rsid w:val="009A2904"/>
    <w:rsid w:val="009A2EA5"/>
    <w:rsid w:val="009B1F81"/>
    <w:rsid w:val="009C2523"/>
    <w:rsid w:val="009C3CEF"/>
    <w:rsid w:val="009C3D5F"/>
    <w:rsid w:val="009D41C5"/>
    <w:rsid w:val="009D77E6"/>
    <w:rsid w:val="009E0BC0"/>
    <w:rsid w:val="009E4BCB"/>
    <w:rsid w:val="009E62EC"/>
    <w:rsid w:val="009F3415"/>
    <w:rsid w:val="00A0022E"/>
    <w:rsid w:val="00A07E47"/>
    <w:rsid w:val="00A11203"/>
    <w:rsid w:val="00A12F72"/>
    <w:rsid w:val="00A26B7D"/>
    <w:rsid w:val="00A311E4"/>
    <w:rsid w:val="00A37176"/>
    <w:rsid w:val="00A40937"/>
    <w:rsid w:val="00A448AC"/>
    <w:rsid w:val="00A50607"/>
    <w:rsid w:val="00A51AA6"/>
    <w:rsid w:val="00A5637F"/>
    <w:rsid w:val="00A56C65"/>
    <w:rsid w:val="00A61485"/>
    <w:rsid w:val="00A64212"/>
    <w:rsid w:val="00A70CEE"/>
    <w:rsid w:val="00A74FCF"/>
    <w:rsid w:val="00A76855"/>
    <w:rsid w:val="00A91D51"/>
    <w:rsid w:val="00A94304"/>
    <w:rsid w:val="00A96C17"/>
    <w:rsid w:val="00AA405B"/>
    <w:rsid w:val="00AB458A"/>
    <w:rsid w:val="00AC46DC"/>
    <w:rsid w:val="00AD1744"/>
    <w:rsid w:val="00AD2F7D"/>
    <w:rsid w:val="00AD534D"/>
    <w:rsid w:val="00AD67BF"/>
    <w:rsid w:val="00AE19CC"/>
    <w:rsid w:val="00AE3872"/>
    <w:rsid w:val="00AE615F"/>
    <w:rsid w:val="00AE681B"/>
    <w:rsid w:val="00AE7ADB"/>
    <w:rsid w:val="00AE7E39"/>
    <w:rsid w:val="00AF2A78"/>
    <w:rsid w:val="00AF494C"/>
    <w:rsid w:val="00B03175"/>
    <w:rsid w:val="00B04B77"/>
    <w:rsid w:val="00B112CE"/>
    <w:rsid w:val="00B229C6"/>
    <w:rsid w:val="00B2530D"/>
    <w:rsid w:val="00B32F68"/>
    <w:rsid w:val="00B335F8"/>
    <w:rsid w:val="00B34D09"/>
    <w:rsid w:val="00B35611"/>
    <w:rsid w:val="00B4046E"/>
    <w:rsid w:val="00B427BD"/>
    <w:rsid w:val="00B45462"/>
    <w:rsid w:val="00B70502"/>
    <w:rsid w:val="00B75835"/>
    <w:rsid w:val="00B80151"/>
    <w:rsid w:val="00B8483E"/>
    <w:rsid w:val="00B9379C"/>
    <w:rsid w:val="00B949EF"/>
    <w:rsid w:val="00BA0286"/>
    <w:rsid w:val="00BA729C"/>
    <w:rsid w:val="00BB46C2"/>
    <w:rsid w:val="00BB61EA"/>
    <w:rsid w:val="00BB6297"/>
    <w:rsid w:val="00BC6254"/>
    <w:rsid w:val="00BE1393"/>
    <w:rsid w:val="00BE3C1A"/>
    <w:rsid w:val="00BF2778"/>
    <w:rsid w:val="00C00296"/>
    <w:rsid w:val="00C02D20"/>
    <w:rsid w:val="00C03717"/>
    <w:rsid w:val="00C10984"/>
    <w:rsid w:val="00C12C64"/>
    <w:rsid w:val="00C1383C"/>
    <w:rsid w:val="00C1409F"/>
    <w:rsid w:val="00C2170A"/>
    <w:rsid w:val="00C27346"/>
    <w:rsid w:val="00C27708"/>
    <w:rsid w:val="00C30F30"/>
    <w:rsid w:val="00C322BC"/>
    <w:rsid w:val="00C409FF"/>
    <w:rsid w:val="00C40BE0"/>
    <w:rsid w:val="00C52E76"/>
    <w:rsid w:val="00C55E4B"/>
    <w:rsid w:val="00C607C6"/>
    <w:rsid w:val="00C80BBE"/>
    <w:rsid w:val="00C81C61"/>
    <w:rsid w:val="00C826A6"/>
    <w:rsid w:val="00C9108C"/>
    <w:rsid w:val="00C92173"/>
    <w:rsid w:val="00C92384"/>
    <w:rsid w:val="00CA1389"/>
    <w:rsid w:val="00CA2EC6"/>
    <w:rsid w:val="00CB169A"/>
    <w:rsid w:val="00CB6DAF"/>
    <w:rsid w:val="00CC278D"/>
    <w:rsid w:val="00CD0B66"/>
    <w:rsid w:val="00CD1A77"/>
    <w:rsid w:val="00CD207F"/>
    <w:rsid w:val="00CD2635"/>
    <w:rsid w:val="00CD4214"/>
    <w:rsid w:val="00CD55EF"/>
    <w:rsid w:val="00CD75B8"/>
    <w:rsid w:val="00CE111F"/>
    <w:rsid w:val="00CF19C0"/>
    <w:rsid w:val="00CF7642"/>
    <w:rsid w:val="00D05D89"/>
    <w:rsid w:val="00D05DDD"/>
    <w:rsid w:val="00D05F72"/>
    <w:rsid w:val="00D106DE"/>
    <w:rsid w:val="00D146DC"/>
    <w:rsid w:val="00D1722E"/>
    <w:rsid w:val="00D26249"/>
    <w:rsid w:val="00D30E2C"/>
    <w:rsid w:val="00D436D3"/>
    <w:rsid w:val="00D4442B"/>
    <w:rsid w:val="00D4573D"/>
    <w:rsid w:val="00D51601"/>
    <w:rsid w:val="00D520DD"/>
    <w:rsid w:val="00D61046"/>
    <w:rsid w:val="00D65A95"/>
    <w:rsid w:val="00D73560"/>
    <w:rsid w:val="00D826A6"/>
    <w:rsid w:val="00D84376"/>
    <w:rsid w:val="00D847B0"/>
    <w:rsid w:val="00D855F9"/>
    <w:rsid w:val="00D863AC"/>
    <w:rsid w:val="00D86A0E"/>
    <w:rsid w:val="00D9323D"/>
    <w:rsid w:val="00D966E9"/>
    <w:rsid w:val="00DB01AB"/>
    <w:rsid w:val="00DB2EFF"/>
    <w:rsid w:val="00DB47EA"/>
    <w:rsid w:val="00DB5FB3"/>
    <w:rsid w:val="00DC1611"/>
    <w:rsid w:val="00DC4567"/>
    <w:rsid w:val="00DD4384"/>
    <w:rsid w:val="00DD5EFE"/>
    <w:rsid w:val="00DD70E4"/>
    <w:rsid w:val="00DF003E"/>
    <w:rsid w:val="00DF0931"/>
    <w:rsid w:val="00DF1B81"/>
    <w:rsid w:val="00E01076"/>
    <w:rsid w:val="00E0747F"/>
    <w:rsid w:val="00E07611"/>
    <w:rsid w:val="00E127AF"/>
    <w:rsid w:val="00E1669B"/>
    <w:rsid w:val="00E176CA"/>
    <w:rsid w:val="00E264A1"/>
    <w:rsid w:val="00E26AFB"/>
    <w:rsid w:val="00E35C22"/>
    <w:rsid w:val="00E373F3"/>
    <w:rsid w:val="00E475D3"/>
    <w:rsid w:val="00E52DD9"/>
    <w:rsid w:val="00E5741D"/>
    <w:rsid w:val="00E611C7"/>
    <w:rsid w:val="00E76095"/>
    <w:rsid w:val="00E76624"/>
    <w:rsid w:val="00E87C69"/>
    <w:rsid w:val="00E90308"/>
    <w:rsid w:val="00E9193A"/>
    <w:rsid w:val="00EA1588"/>
    <w:rsid w:val="00EA179A"/>
    <w:rsid w:val="00EA6265"/>
    <w:rsid w:val="00EA65E6"/>
    <w:rsid w:val="00EA7333"/>
    <w:rsid w:val="00EB39DE"/>
    <w:rsid w:val="00EB50F3"/>
    <w:rsid w:val="00EB6EB5"/>
    <w:rsid w:val="00EC3949"/>
    <w:rsid w:val="00EC7F7F"/>
    <w:rsid w:val="00ED1D2D"/>
    <w:rsid w:val="00ED3E69"/>
    <w:rsid w:val="00ED6CEB"/>
    <w:rsid w:val="00ED7383"/>
    <w:rsid w:val="00EE008C"/>
    <w:rsid w:val="00EE09D9"/>
    <w:rsid w:val="00EE0C6D"/>
    <w:rsid w:val="00EE1DBB"/>
    <w:rsid w:val="00EE4CE7"/>
    <w:rsid w:val="00F02A04"/>
    <w:rsid w:val="00F128CE"/>
    <w:rsid w:val="00F145A9"/>
    <w:rsid w:val="00F174FE"/>
    <w:rsid w:val="00F17DCA"/>
    <w:rsid w:val="00F2244A"/>
    <w:rsid w:val="00F23F27"/>
    <w:rsid w:val="00F263EC"/>
    <w:rsid w:val="00F2716F"/>
    <w:rsid w:val="00F2795F"/>
    <w:rsid w:val="00F3194A"/>
    <w:rsid w:val="00F36366"/>
    <w:rsid w:val="00F372AC"/>
    <w:rsid w:val="00F46C77"/>
    <w:rsid w:val="00F46F0D"/>
    <w:rsid w:val="00F61096"/>
    <w:rsid w:val="00F61E84"/>
    <w:rsid w:val="00F61EB2"/>
    <w:rsid w:val="00F70A08"/>
    <w:rsid w:val="00F72BD4"/>
    <w:rsid w:val="00F76A61"/>
    <w:rsid w:val="00F77A0B"/>
    <w:rsid w:val="00F853BE"/>
    <w:rsid w:val="00F87EB9"/>
    <w:rsid w:val="00F90FD4"/>
    <w:rsid w:val="00F93F10"/>
    <w:rsid w:val="00F96850"/>
    <w:rsid w:val="00F96B8D"/>
    <w:rsid w:val="00F970CD"/>
    <w:rsid w:val="00FA3D3F"/>
    <w:rsid w:val="00FB0478"/>
    <w:rsid w:val="00FB05D1"/>
    <w:rsid w:val="00FB54CD"/>
    <w:rsid w:val="00FC279A"/>
    <w:rsid w:val="00FC2B36"/>
    <w:rsid w:val="00FC5E95"/>
    <w:rsid w:val="00FD3055"/>
    <w:rsid w:val="00FD765A"/>
    <w:rsid w:val="00FD77AD"/>
    <w:rsid w:val="00FD7A4C"/>
    <w:rsid w:val="00FE27DE"/>
    <w:rsid w:val="00FE3383"/>
    <w:rsid w:val="00FF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73E9B"/>
  <w15:chartTrackingRefBased/>
  <w15:docId w15:val="{F843170C-0939-6746-B16C-74192807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022E"/>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022E"/>
    <w:pPr>
      <w:ind w:left="720"/>
      <w:contextualSpacing/>
    </w:pPr>
  </w:style>
  <w:style w:type="paragraph" w:styleId="Hlavika">
    <w:name w:val="header"/>
    <w:basedOn w:val="Normlny"/>
    <w:link w:val="HlavikaChar"/>
    <w:uiPriority w:val="99"/>
    <w:unhideWhenUsed/>
    <w:rsid w:val="000B4989"/>
    <w:pPr>
      <w:tabs>
        <w:tab w:val="center" w:pos="4703"/>
        <w:tab w:val="right" w:pos="9406"/>
      </w:tabs>
    </w:pPr>
  </w:style>
  <w:style w:type="character" w:customStyle="1" w:styleId="HlavikaChar">
    <w:name w:val="Hlavička Char"/>
    <w:basedOn w:val="Predvolenpsmoodseku"/>
    <w:link w:val="Hlavika"/>
    <w:uiPriority w:val="99"/>
    <w:rsid w:val="000B4989"/>
  </w:style>
  <w:style w:type="paragraph" w:styleId="Pta">
    <w:name w:val="footer"/>
    <w:basedOn w:val="Normlny"/>
    <w:link w:val="PtaChar"/>
    <w:uiPriority w:val="99"/>
    <w:unhideWhenUsed/>
    <w:rsid w:val="000B4989"/>
    <w:pPr>
      <w:tabs>
        <w:tab w:val="center" w:pos="4703"/>
        <w:tab w:val="right" w:pos="9406"/>
      </w:tabs>
    </w:pPr>
  </w:style>
  <w:style w:type="character" w:customStyle="1" w:styleId="PtaChar">
    <w:name w:val="Päta Char"/>
    <w:basedOn w:val="Predvolenpsmoodseku"/>
    <w:link w:val="Pta"/>
    <w:uiPriority w:val="99"/>
    <w:rsid w:val="000B4989"/>
  </w:style>
  <w:style w:type="table" w:styleId="Mriekatabuky">
    <w:name w:val="Table Grid"/>
    <w:basedOn w:val="Normlnatabuka"/>
    <w:uiPriority w:val="39"/>
    <w:rsid w:val="00733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EE0C6D"/>
  </w:style>
  <w:style w:type="character" w:styleId="Odkaznakomentr">
    <w:name w:val="annotation reference"/>
    <w:basedOn w:val="Predvolenpsmoodseku"/>
    <w:uiPriority w:val="99"/>
    <w:semiHidden/>
    <w:unhideWhenUsed/>
    <w:rsid w:val="00AE3872"/>
    <w:rPr>
      <w:sz w:val="16"/>
      <w:szCs w:val="16"/>
    </w:rPr>
  </w:style>
  <w:style w:type="paragraph" w:styleId="Textkomentra">
    <w:name w:val="annotation text"/>
    <w:basedOn w:val="Normlny"/>
    <w:link w:val="TextkomentraChar"/>
    <w:uiPriority w:val="99"/>
    <w:unhideWhenUsed/>
    <w:rsid w:val="00AE3872"/>
    <w:rPr>
      <w:sz w:val="20"/>
      <w:szCs w:val="20"/>
    </w:rPr>
  </w:style>
  <w:style w:type="character" w:customStyle="1" w:styleId="TextkomentraChar">
    <w:name w:val="Text komentára Char"/>
    <w:basedOn w:val="Predvolenpsmoodseku"/>
    <w:link w:val="Textkomentra"/>
    <w:uiPriority w:val="99"/>
    <w:rsid w:val="00AE3872"/>
    <w:rPr>
      <w:sz w:val="20"/>
      <w:szCs w:val="20"/>
    </w:rPr>
  </w:style>
  <w:style w:type="paragraph" w:styleId="Predmetkomentra">
    <w:name w:val="annotation subject"/>
    <w:basedOn w:val="Textkomentra"/>
    <w:next w:val="Textkomentra"/>
    <w:link w:val="PredmetkomentraChar"/>
    <w:uiPriority w:val="99"/>
    <w:semiHidden/>
    <w:unhideWhenUsed/>
    <w:rsid w:val="00AE3872"/>
    <w:rPr>
      <w:b/>
      <w:bCs/>
    </w:rPr>
  </w:style>
  <w:style w:type="character" w:customStyle="1" w:styleId="PredmetkomentraChar">
    <w:name w:val="Predmet komentára Char"/>
    <w:basedOn w:val="TextkomentraChar"/>
    <w:link w:val="Predmetkomentra"/>
    <w:uiPriority w:val="99"/>
    <w:semiHidden/>
    <w:rsid w:val="00AE3872"/>
    <w:rPr>
      <w:b/>
      <w:bCs/>
      <w:sz w:val="20"/>
      <w:szCs w:val="20"/>
    </w:rPr>
  </w:style>
  <w:style w:type="character" w:styleId="Hypertextovprepojenie">
    <w:name w:val="Hyperlink"/>
    <w:basedOn w:val="Predvolenpsmoodseku"/>
    <w:uiPriority w:val="99"/>
    <w:unhideWhenUsed/>
    <w:rsid w:val="005D7737"/>
    <w:rPr>
      <w:color w:val="0563C1" w:themeColor="hyperlink"/>
      <w:u w:val="single"/>
    </w:rPr>
  </w:style>
  <w:style w:type="character" w:styleId="Nevyrieenzmienka">
    <w:name w:val="Unresolved Mention"/>
    <w:basedOn w:val="Predvolenpsmoodseku"/>
    <w:uiPriority w:val="99"/>
    <w:semiHidden/>
    <w:unhideWhenUsed/>
    <w:rsid w:val="005D7737"/>
    <w:rPr>
      <w:color w:val="605E5C"/>
      <w:shd w:val="clear" w:color="auto" w:fill="E1DFDD"/>
    </w:rPr>
  </w:style>
  <w:style w:type="paragraph" w:styleId="Normlnywebov">
    <w:name w:val="Normal (Web)"/>
    <w:basedOn w:val="Normlny"/>
    <w:uiPriority w:val="99"/>
    <w:semiHidden/>
    <w:unhideWhenUsed/>
    <w:rsid w:val="009C2523"/>
    <w:pPr>
      <w:spacing w:before="100" w:beforeAutospacing="1" w:after="100" w:afterAutospacing="1"/>
    </w:pPr>
    <w:rPr>
      <w:rFonts w:ascii="Times New Roman" w:eastAsia="Times New Roman" w:hAnsi="Times New Roman"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sec.org/sites/default/files/2023-11/Healthcare%20Readiness%20Index%20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05AF-62DB-4B89-BF82-EE72DACA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3827</Characters>
  <Application>Microsoft Office Word</Application>
  <DocSecurity>0</DocSecurity>
  <Lines>31</Lines>
  <Paragraphs>8</Paragraphs>
  <ScaleCrop>false</ScaleCrop>
  <HeadingPairs>
    <vt:vector size="6" baseType="variant">
      <vt:variant>
        <vt:lpstr>Názov</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Zaborowski</dc:creator>
  <cp:keywords/>
  <dc:description/>
  <cp:lastModifiedBy>Henrieta Kunová</cp:lastModifiedBy>
  <cp:revision>3</cp:revision>
  <dcterms:created xsi:type="dcterms:W3CDTF">2024-04-24T09:18:00Z</dcterms:created>
  <dcterms:modified xsi:type="dcterms:W3CDTF">2024-04-24T11:34:00Z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5fff6924410207575fc89b5b572e2df10834d7d9a838afd92a91f4291c26dc2f</vt:lpwstr>
  </property>
</Properties>
</file>